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https://www.autoritedelaconcurrence.fr/fr/decision-de-controle-des-concentrations/relative-la-prise-de-controle-exclusif-delements-dactifs-du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25-DCC-149 of July 3, 2025  </w:t>
        <w:br/>
        <w:t xml:space="preserve">regarding the exclusive control acquisition of assets from the  </w:t>
        <w:br/>
        <w:t xml:space="preserve">Morlot group by the company NGE Bâtiment  </w:t>
        <w:br/>
        <w:t xml:space="preserve">The Competition Authority,  </w:t>
        <w:br/>
        <w:t xml:space="preserve">Having regard to the notification file sent to the mergers department on March 19, 2025, declared  </w:t>
        <w:br/>
        <w:t xml:space="preserve">complete on May 22, 2025, concerning the exclusive control acquisition of assets from the Morlot  </w:t>
        <w:br/>
        <w:t xml:space="preserve">group by the company NGE, a subsidiary of the NGE group, formalized by the takeover offers of March 10,  </w:t>
        <w:br/>
        <w:t xml:space="preserve">12, and 21, 2025, and the judgments of the Commercial Court of Dijon on April 4, 2025.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transmitted by the notifying party during the investigation;  </w:t>
        <w:br/>
        <w:t xml:space="preserve">Having regard to the other documents in the file;  </w:t>
        <w:br/>
        <w:t xml:space="preserve">Adopts the following decision:  </w:t>
        <w:br/>
        <w:t xml:space="preserve">1. The notified operation consists of the exclusive control acquisition of the assets comprising the  </w:t>
        <w:br/>
        <w:t xml:space="preserve">Sustainable Construction and Energy Services divisions of the Morlot company by the company NGE  </w:t>
        <w:br/>
        <w:t xml:space="preserve">Bâtiment, a subsidiary of the NGE group, companies active in France in the construction and public  </w:t>
        <w:br/>
        <w:t xml:space="preserve">works sector.  </w:t>
        <w:br/>
        <w:t xml:space="preserve">2. The operation constitutes a concentration within the meaning of Article L. 430-1 of the Commercial  </w:t>
        <w:br/>
        <w:t xml:space="preserve">Code. Given the turnover achieved by the companies concerned, the operation does not fall under the  </w:t>
        <w:br/>
        <w:t xml:space="preserve">competence of the European Union. On the other hand, the control thresholds mentioned in I of Article  </w:t>
        <w:br/>
        <w:t xml:space="preserve">L. 430-2 of the Commercial Code are exceeded. This operation is therefore subject to the provisions of  </w:t>
        <w:br/>
        <w:t xml:space="preserve">Articles L. 430-3 and following of the Commercial Code relating to economic concentration.  </w:t>
        <w:br/>
        <w:t xml:space="preserve">3. In light of the elements of the file, the operation is not likely to harm competition in the  </w:t>
        <w:br/>
        <w:t>concerned markets.</w:t>
      </w:r>
    </w:p>
    <w:p>
      <w:r>
        <w:t xml:space="preserve">DECIDES  </w:t>
        <w:br/>
        <w:t xml:space="preserve">Sole Article: The operation notified under number 25-077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