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https://www.autoritedelaconcurrence.fr/fr/decision-de-controle-des-concentrations/relative-la-prise-de-controle-exclusif-denerest-par</w:t>
      </w:r>
    </w:p>
    <w:p>
      <w:r>
        <w:t>Pages translated : 17</w:t>
      </w:r>
    </w:p>
    <w:p/>
    <w:p>
      <w:r>
        <w:rPr>
          <w:b/>
        </w:rPr>
        <w:t>[Pages 1–3]</w:t>
      </w:r>
    </w:p>
    <w:p>
      <w:r>
        <w:t>FRENCH REPUBLIC</w:t>
        <w:br/>
        <w:t>Decision No. 12-DCC-20 of February 7, 2012</w:t>
        <w:br/>
        <w:t>regarding the exclusive control of Enerest by Electricité de Strasbourg</w:t>
        <w:br/>
        <w:t>The Competition Authority,</w:t>
        <w:br/>
        <w:t>Having regard to the notification file sent to the merger service on November 18, 2011, and declared complete on November 22, 2011, concerning the exclusive control of Enerest by Electricité de Strasbourg, formalized by a firm and irrevocable offer addressed to the shareholders of Enerest on November 3, 2011, who on the same day granted Electricité de Strasbourg an exclusivity commitment;</w:t>
        <w:br/>
        <w:t>Having regard to Book IV of the Commercial Code relating to price freedom and competition, and in particular its Articles L. 430-1 to L. 430-7;</w:t>
        <w:br/>
        <w:t>Having regard to the supplementary elements transmitted by the parties during the investigation;</w:t>
        <w:br/>
        <w:t>Having regard to the request for a suspension of the examination deadlines for a period of 15 working days, in accordance with Article L. 430-5 II, granted by letter dated December 27, 2011;</w:t>
        <w:br/>
        <w:t>Having regard to the commitments presented on January 17, 2012, and last modified on February 6, 2012, by the notifying party;</w:t>
        <w:br/>
        <w:t>Adopts the following decision:</w:t>
        <w:br/>
        <w:t>I. The concerned companies and the operation</w:t>
        <w:br/>
        <w:t>1. Electricité de Strasbourg (hereinafter "ES") is the historical electricity operator in the Strasbourg region, its service area covering a significant part of the Bas-Rhin department. The ES group engages in regulated electricity distribution activities as well as electricity marketing activities through its wholly-owned subsidiary ES Energies Strasbourg, the historical supplier solely authorized to supply electricity at regulated rates in its service area. ES is also present in the open markets for electricity and gas supply.</w:t>
        <w:br/>
        <w:t>2. ES is 88.82% owned by EDF, the historical electricity operator in France, present throughout the territory and authorized, as such, to supply electricity at regulated rates throughout the territory, except in the service areas covered by local distribution companies (hereinafter "ELD"). EDF is also a supplier of electricity and gas in the open market.</w:t>
        <w:br/>
        <w:t>3. Enerest is the historical gas supplier in the Strasbourg region. Enerest is currently 100% owned by Réseau GDS (formerly Gaz de Strasbourg) and was spun off in 2007 to separate network activities from gas marketing activities, in accordance with French and European regulations. Enerest is the only operator authorized to supply gas at regulated rates in the service area of Réseau GDS, which covers the Strasbourg urban area. Enerest has also been selling gas at market price since October 1, 2008, as well as electricity since September 2009. This latter activity represented approximately 1% of its revenue in 2010.</w:t>
        <w:br/>
        <w:t>4. On November 3, 2011, ES made a firm and irrevocable offer to the shareholders of Enerest for all the shares of that company. On the same day, the shareholders of Enerest granted ES an exclusivity commitment to carry out the operation.</w:t>
        <w:br/>
        <w:t>5. Insofar as it results in the exclusive control of Enerest by the EDF group, the notified operation constitutes a concentration operation within the meaning of Article L. 430-1 of the Commercial Code. The concerned companies together achieve a total worldwide turnover of more than 150 million euros (EDF group: 65.2 billion euros for the fiscal year ending December 31, 2010; Enerest: 209 million euros for the fiscal year ending December 31, 2010). Each achieves a turnover in France exceeding 50 million euros (EDF group: 37.5 billion euros for the fiscal year ending December 31, 2010; Enerest: 209 million euros for the fiscal year ending December 31, 2010).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br/>
        <w:t>II. Definition of the relevant markets</w:t>
        <w:br/>
        <w:t>6. Consistently, the decision-making practice distinguishes between the electricity and gas markets, due to the lack of substitutability between these two products.</w:t>
        <w:br/>
        <w:t>A. THE ELECTRICITY SECTOR</w:t>
        <w:br/>
        <w:t>7. National and European competition authorities generally distinguish the following product markets, from upstream to downstream: (i) production and wholesale sale, (ii) trading, (iii) transportation, (iv) distribution, and (v) retail supply of electricity. Given the horizontal overlaps of activities related to the operation, the relevant markets are those of retail supply of electricity.</w:t>
        <w:br/>
        <w:t>1. RETAIL SUPPLY OF ELECTRICITY</w:t>
        <w:br/>
        <w:t>8. National and European competition authorities distinguish, within the retail supply of electricity, between (i) the retail supply of electricity to large industrial and commercial customers connected to the transmission network and (ii) the retail supply of electricity to small industrial, commercial, and residential customers connected to the distribution network. This delineation has been considered insofar as large industrial customers benefit from individualized offers based on their actual consumption, while customers connected to the distribution network are subject to a mass marketing approach and are assigned a rate based on the typical profile of their consumption. These latter customers are referred to as "profiled": a theoretical typical profile is assigned to them based on their characteristics in terms of, in particular, professional activity and domestic equipment in order to be able to estimate their electricity consumption in advance.</w:t>
        <w:br/>
        <w:t>9. The European Commission and the Competition Authority have also considered distinguishing, within the "profiled" customers, between (i) small industrial and commercial customers and (ii) residential customers. Indeed, these two customer segments have distinct consumption profiles, and the supply to residential customers is subject to specific regulation resulting from public service obligations that do not apply to professional customers. However, the notifying party emphasized that residential customers as well as small professionals whose subscribed power is less than 36 kVA are subject to a similar commercial approach. Furthermore, it argued that Law No. 2010-1488 of December 7, 2010 (hereinafter "NOME" law) provides for identical provisions for these two customer categories regarding reversibility and the maintenance of regulated rates.</w:t>
        <w:br/>
        <w:t>10. In this case, the operation results in an overlap of activity in the supply of electricity to residential customers and small professionals.</w:t>
        <w:br/>
        <w:t>11. Finally, the decision-making practice has considered defining narrower markets for the supply of electricity to customers who have subscribed to a supply contract on the open market. Thus, the Competition Authority noted that in France, there coexist market offers with freely set prices and offers at regulated rates and that, moreover, subscribing to a supply contract on the open market does not allow a return to these regulated rates, except in exceptional cases, particularly for large industrial customers.</w:t>
        <w:br/>
        <w:t>12. The notifying party believes that this distinction has lost its relevance since the entry into force of the "NOME" law. It thus points out that the legislation allows small customers...</w:t>
      </w:r>
    </w:p>
    <w:p>
      <w:r>
        <w:rPr>
          <w:b/>
        </w:rPr>
        <w:t>[Pages 4–6]</w:t>
      </w:r>
    </w:p>
    <w:p>
      <w:r>
        <w:t>consumers (industrial, commercial, and residential subscribing to a power of less than 36 kVA) to return to regulated tariffs upon simple request and without delay for a duration that cannot be less than one year, and it frames the same possibility for large consumers (industrial and commercial subscribing to a power of more than 36 kVA)8. It follows, according to it, that there is no need to distinguish between customers who have subscribed to a market offer and those who have not, at least for small consumers.</w:t>
      </w:r>
    </w:p>
    <w:p>
      <w:r>
        <w:t>13. The notifying party further emphasizes that customers who have subscribed to a market offer represent approximately 6.7% of the total electricity consumers. In this regard, it should be noted that only 5.5% of residential customers and 14.3% of non-residential customers have subscribed to market offers. In total, according to the Energy Regulatory Commission (the "CRE"), alternative suppliers represent 5.4% of the supply to residential sites and 7.4% of the supply to non-residential sites9.</w:t>
      </w:r>
    </w:p>
    <w:p>
      <w:r>
        <w:t>14. In this case, the question of the exact delineation of the retail electricity supply markets can, however, be left open insofar as, regardless of the assumption retained, the conclusions of the competitive analysis will remain unchanged.</w:t>
      </w:r>
    </w:p>
    <w:p>
      <w:r>
        <w:t>2. THE RELEVANT GEOGRAPHIC MARKET</w:t>
      </w:r>
    </w:p>
    <w:p>
      <w:r>
        <w:t>15. National and community competition authorities10 have considered, during the examination of operations involving national operators, that electricity markets were of national dimension, notably due to the low level of interconnection between Member States and the diversity of regulatory systems in force.</w:t>
      </w:r>
    </w:p>
    <w:p>
      <w:r>
        <w:t>16. In this case, however, the operation involves, in addition to EDF as the historical operator at the national level, two local distribution companies (ELDs) whose activity is strongly linked to their respective historical service areas. Thus, that of ES extends over a significant part of the Bas-Rhin department while that of Enerest corresponds to the Strasbourg agglomeration. The overlaps of activity therefore occur essentially in the Bas-Rhin department.</w:t>
      </w:r>
    </w:p>
    <w:p>
      <w:r>
        <w:t>17. For the purposes of this operation, the competitive analysis will therefore be conducted both at the national level and more specifically in the Bas-Rhin department.</w:t>
      </w:r>
    </w:p>
    <w:p>
      <w:r>
        <w:t>B. THE GAS SECTOR</w:t>
      </w:r>
    </w:p>
    <w:p>
      <w:r>
        <w:t>18. National and European competition authorities traditionally distinguish, from upstream to downstream, the following product markets: (i) exploration-export, (ii) transportation, (iii) storage, (iv) trading, and (v) supply of natural gas11. Given the activities of the parties to the operation, only the markets for the supply of natural gas are concerned by the operation.</w:t>
      </w:r>
    </w:p>
    <w:p>
      <w:r>
        <w:t>1. RETAIL SUPPLY OF GAS</w:t>
      </w:r>
    </w:p>
    <w:p>
      <w:r>
        <w:t>a) Distinction by customer profile</w:t>
      </w:r>
    </w:p>
    <w:p>
      <w:r>
        <w:t>19. Within the gas supply activities, the decisional practice has first distinguished (i) the supply of gas to large industrial customers, (ii) the supply of gas to small industrial and commercial customers, (iii) the supply of gas to electricity producers, (iv) the supply of gas to intermediary resellers (local distribution companies), and (v) the supply of gas to residential customers12. The distinctions between these groups are based on the differences in their usage of gas, those relating to their profiles and consumption volumes, or their connection to the transmission or distribution network as well as on the purchase price.</w:t>
      </w:r>
    </w:p>
    <w:p>
      <w:r>
        <w:t>20. The European Commission has left open the question of what threshold should be retained to distinguish, in France, between the supply of gas to small industrial consumers and that to large industrial consumers, whether it be an annual consumption of 50 GWh or 5 GWh13.</w:t>
      </w:r>
    </w:p>
    <w:p>
      <w:r>
        <w:t>21. In this case, the parties supply gas to residential customers, small professionals, large industrial and commercial customers, as well as to ELDs.</w:t>
      </w:r>
    </w:p>
    <w:p>
      <w:r>
        <w:t>b) Distinction by type of gas distributed</w:t>
      </w:r>
    </w:p>
    <w:p>
      <w:r>
        <w:t>22. The European Commission has also established a distinction between the supply of low calorific value gas (referred to as "gas B" or "gas L") and the supply of high calorific value gas (referred to as "gas H"). This distinction is justified, according to European decisional practice, due to the different characteristics, properties, and uses, with both types of gas requiring specific installations, the conversion to another type of gas necessitating significant investments14.</w:t>
      </w:r>
    </w:p>
    <w:p>
      <w:r>
        <w:t>23. In this case, the parties supply gas H (EDF, ES, and Enerest) as well as gas B (only EDF and Enerest).</w:t>
      </w:r>
    </w:p>
    <w:p>
      <w:r>
        <w:t>c) Distinction by supply segment</w:t>
      </w:r>
    </w:p>
    <w:p>
      <w:r>
        <w:t>24. Finally, competition authorities have considered defining narrower markets for the supply of gas to customers who have subscribed to a supply on the open market15. Thus, the European Commission noted that customers who have subscribed to a market offer, by switching from the regulated tariff to the free tariff, only had the possibility to return to the regulated tariff under certain conditions. As a result, there would be an asymmetry of competitive constraint between the supply of gas at regulated tariff and the supply of gas at free tariff, with substitutability between the two segments only playing in one direction. The European Commission concluded that the relevant markets were the markets for the supply of gas to customers who have exercised their eligibility.</w:t>
      </w:r>
    </w:p>
    <w:p>
      <w:r>
        <w:t>25. In this case, the parties believe that this segmentation has lost its relevance due to the possibility for small gas consumers (i.e., those with an annual consumption of less than 30,000 kWh) to return to regulated tariffs. However, it should be noted that this possibility is more restricted for large consumers16.</w:t>
      </w:r>
    </w:p>
    <w:p>
      <w:r>
        <w:t>26. The question of the exact delineation of the gas supply markets can, however, be left open insofar as, regardless of the assumption retained, the conclusions of the competitive analysis will remain unchanged.</w:t>
      </w:r>
    </w:p>
    <w:p>
      <w:r>
        <w:t>2. THE RELEVANT GEOGRAPHIC MARKET</w:t>
      </w:r>
    </w:p>
    <w:p>
      <w:r>
        <w:t>27. Regarding the geographical delineation of the gas supply markets, the European Commission has considered that these markets were of subnational dimension17. It has thus retained several markets corresponding to balancing areas, for which the competitive conditions differ significantly. There are now only three balancing areas since January 1, 2009: North, South, and Southwest18. In this case, the operation results in a significant overlap of activity in the only North area.</w:t>
      </w:r>
    </w:p>
    <w:p>
      <w:r>
        <w:t>28. More specifically, the operation involves ELDs whose activity is strongly linked to their respective historical service areas. The overlaps of activity therefore occur essentially in the Bas-Rhin department.</w:t>
      </w:r>
    </w:p>
    <w:p>
      <w:r>
        <w:t>29. For the purposes of this operation, the competitive analysis will therefore be conducted both in the North area and more specifically in the Bas-Rhin department.</w:t>
      </w:r>
    </w:p>
    <w:p>
      <w:r>
        <w:rPr>
          <w:b/>
        </w:rPr>
        <w:t>[Pages 7–9]</w:t>
      </w:r>
    </w:p>
    <w:p>
      <w:r>
        <w:t>présents d'autres concurrents tels qu'Altergaz ([5-10] %) et Direct Energie-Poweo (moins de [5-10] % cumulé).</w:t>
      </w:r>
    </w:p>
    <w:p>
      <w:r>
        <w:t>50. En résumé, l’opération entraîne des chevauchements d’activité significatifs sur le marché du gaz, mais la position de la nouvelle entité reste limitée par la forte présence de GDF Suez et d'autres concurrents sur les différents segments de marché.</w:t>
      </w:r>
    </w:p>
    <w:p>
      <w:r>
        <w:t>51. L’analyse concurrentielle met en évidence que, bien que des chevauchements existent, la structure du marché et la présence de concurrents significatifs limitent les effets anticoncurrentiels potentiels de l’opération.</w:t>
      </w:r>
    </w:p>
    <w:p>
      <w:r>
        <w:rPr>
          <w:b/>
        </w:rPr>
        <w:t>[Pages 10–12]</w:t>
      </w:r>
    </w:p>
    <w:p>
      <w:r>
        <w:t>49. Regarding small professionals in the open market, the new entity will have a market share of [20-30]% (EDF group: [10-20]%; Enerest: [5-10]%). GDF Suez remains the clear leader in this market with more than [60-70]% market share. Also present are Altergaz ([10-20]%) and, to a lesser extent, Direct Energie-Poweo (less than [5-10]% combined).</w:t>
      </w:r>
    </w:p>
    <w:p>
      <w:r>
        <w:t>50. Concerning large industrial customers in the open market, the market share of the new entity will remain limited to [0-5]% (EDF group: [0-5]%; Enerest: [0-5]%). GDF Suez remains the leader with more than [50-60]% market share.</w:t>
      </w:r>
    </w:p>
    <w:p>
      <w:r>
        <w:t>c) In the Bas-Rhin department</w:t>
      </w:r>
    </w:p>
    <w:p>
      <w:r>
        <w:t>51. The following table summarizes the market shares of the parties to the transaction considering all customers, whether or not they have subscribed to a market offer20:</w:t>
      </w:r>
    </w:p>
    <w:p>
      <w:r>
        <w:t>Bas-Rhin gas market - all customers</w:t>
        <w:br/>
        <w:t>Small industrials and Large industrials and</w:t>
        <w:br/>
        <w:t>Residential</w:t>
        <w:br/>
        <w:t>commercials commercials</w:t>
        <w:br/>
        <w:t>Market size (TWh) 4.28 4.3 3.5</w:t>
        <w:br/>
        <w:t>ES [0-5]% [0-5]% [5-10]%</w:t>
        <w:br/>
        <w:t>Enerest [40-50]% [60-70]% [40-50]%</w:t>
        <w:br/>
        <w:t>TOTAL [40-50]% [60-70]% [40-50]%</w:t>
      </w:r>
    </w:p>
    <w:p>
      <w:r>
        <w:t>52. It should be noted that Enerest's historical service area covers only a limited part of Bas-Rhin, approximately corresponding to the Strasbourg urban area. Outside this area, two other historical operators have exclusive territories for the distribution of gas at regulated tariffs. These are Gaz de Barr, which serves a few municipalities around Barr, and GDF Suez for the other municipalities in the department connected to the gas distribution network.</w:t>
      </w:r>
    </w:p>
    <w:p>
      <w:r>
        <w:t>53. In the residential customer segment, the new entity will have a market share of [40-50]% resulting from a slight strengthening of its position (+[0-5]%). The parties were unable to provide an estimate of their competitors' market shares. According to the results of the market test, GDF Suez estimates that it holds a market share of approximately [30-40]% in the residential segment, with all customers located outside Enerest's historical service area. Gaz de Barr is also present as a historical operator, as well as Altergaz, albeit in a more anecdotal manner.</w:t>
      </w:r>
    </w:p>
    <w:p>
      <w:r>
        <w:t>54. The analysis is similar in the segment of small industrial and commercial customers. The transaction results in a slight overlap of activity (+[0-5]%) leading to a limited strengthening of the historical operator's market share ([60-70]%). GDF Suez estimates that it holds a market share of around [20-30]%, entirely realized outside Enerest's historical territory. Altergaz, Tégaz, and Enovos are also active in the area, with limited sales volumes.</w:t>
      </w:r>
    </w:p>
    <w:p>
      <w:r>
        <w:t>55. Regarding large industrial and commercial customers, the new entity will have a market share of [40-50]%, with ES achieving [5-10]% of sales volume in this segment. The new entity will primarily face competition from GDF Suez, which estimates its market share at [50-60]%. Operators such as Gaz Natural, Enovos, Gazprom, and ENI (Distrigaz and Altergaz) also operate in the market.</w:t>
      </w:r>
    </w:p>
    <w:p>
      <w:r>
        <w:t>56. If we specifically consider customers in the open market who have subscribed to a gas supply offer at market price, the parties have the following market shares:</w:t>
      </w:r>
    </w:p>
    <w:p>
      <w:r>
        <w:t>Bas-Rhin gas market - open market customers</w:t>
        <w:br/>
        <w:t>Small industrials Large industrials and</w:t>
        <w:br/>
        <w:t>Residential</w:t>
        <w:br/>
        <w:t>and commercial commercial</w:t>
        <w:br/>
        <w:t>Market size (TWh) 0.65 1.4 3</w:t>
        <w:br/>
        <w:t>ES [0-5]% [0-5]% [5-10]%</w:t>
        <w:br/>
        <w:t>Enerest [60-70]% [50-60]% [40-50]%</w:t>
        <w:br/>
        <w:t>TOTAL [60-70]% [60-70]% [40-50]%</w:t>
      </w:r>
    </w:p>
    <w:p>
      <w:r>
        <w:t>57. Contrary to the situation in the electricity market in Bas-Rhin, it should be noted that the size of the open market is in line with the national average. In this case, market offers account for 15% of gas consumption for residential customers, 32% for small professionals, and 85% for large industrial customers.</w:t>
      </w:r>
    </w:p>
    <w:p>
      <w:r>
        <w:t>58. In the residential segment, the new entity will have a market share of [60-70]%. However, it still faces competition from historical gas operators also present in the open market, notably GDF Suez, which holds [20-30]% market share, Gaz de Barr ([0-5]%), and alternative operators such as Altergaz ([0-5]%). GDF Suez emphasizes that it makes no sales in Enerest's historical territory.</w:t>
      </w:r>
    </w:p>
    <w:p>
      <w:r>
        <w:t>59. In the small professional segment, the situation is quite similar. The parties were unable to specify the market shares of competitors but indicated the presence of GDF Suez, Altergaz, Tégaz, and Enovos, which together total [40-50]% market share.</w:t>
      </w:r>
    </w:p>
    <w:p>
      <w:r>
        <w:t>60. Finally, in the large industrial segment, the new entity will hold a market share of [40-50]%. The parties were unable to specify the individual market shares of competitors but indicated the presence of GDF Suez, Gaz Natural, Enovos, Gazprom, and ENI, which together total [50-60]% market share.</w:t>
      </w:r>
    </w:p>
    <w:p>
      <w:r>
        <w:t>61. The transaction will therefore confer to ES a significant position in the open market, consolidating relatively high market shares for the supply of gas to residential and small professional customers. It should nevertheless be noted that, unlike electricity, gas markets are characterized by the presence of several alternative suppliers with non-negligible market shares. Furthermore, as explained above, dual offers constitute a strategic development axis for alternative suppliers. The ability of competitors to offer such offers following the transaction is examined in this decision under conglomerate effects.</w:t>
      </w:r>
    </w:p>
    <w:p>
      <w:r>
        <w:t>B. CONGLOMERATE EFFECTS</w:t>
      </w:r>
    </w:p>
    <w:p>
      <w:r>
        <w:t>62. The transaction, which involves the integration of two ELDs, will allow ES to simultaneously hold the legal monopolies for the supply of electricity and gas at regulated tariffs in its service areas. Thus, following the transaction, the new entity will be able to simultaneously offer gas and electricity supply contracts at both regulated and market prices, particularly in the overlapping area of ES and Enerest's distribution territories (Strasbourg urban area).</w:t>
      </w:r>
    </w:p>
    <w:p>
      <w:r>
        <w:t>63. The business practice whereby the same operator offers packages that simultaneously include electricity supply and gas supply is referred to as "dual offers" or "double offers." The European Commission has had the opportunity to recall that "dual offers are not in themselves anti-competitive." The previous decisional practice has indeed highlighted that dual offers allow suppliers to achieve significant economies of scope (IT, billing) that can represent 50% of the price of a single product offer. Furthermore, still on the supply side, "the customer acquisition costs for an electricity customer to whom a supplier already sells gas (and vice versa) are lower than the costs associated with acquiring an entirely new customer and allow suppliers to exploit their portfolio of inert customers to whom they already sell one of the products." On the demand side, these offers provide the advantage of receiving bills from a single supplier or even obtaining more favorable prices. Dual offers only concern residential and small professional customers, as large industrial customers are not sensitive to this type of offer.</w:t>
      </w:r>
    </w:p>
    <w:p>
      <w:r>
        <w:t>64. The European Commission has also noted that dual offers constitute "a tool that helps limit supplier changes by offering new services that meet customer expectations and strengthen the business relationship with them. This type of offer also allows suppliers to enter new energy markets and benefit from economies of scale."</w:t>
      </w:r>
    </w:p>
    <w:p>
      <w:r>
        <w:t>65. To determine whether the new entity's ability to offer dual offers is likely to have a significant impact on competition, it is necessary to examine to what extent the entity resulting from the transaction will have the capacity to eliminate its competitors through dual offers and the incentive to do so (i) and whether this strategy will have a significant effect on the markets concerned (ii).</w:t>
      </w:r>
    </w:p>
    <w:p>
      <w:r>
        <w:t>1. CAPACITY AND INCENTIVE TO ELIMINATE COMPETITORS THROUGH DUAL OFFERS</w:t>
      </w:r>
    </w:p>
    <w:p>
      <w:r>
        <w:t>66. The incentive to eliminate competitors through dual offers depends, first and foremost, on the number of customers using both electricity and gas. The parties indicated that approximately [30-40]% of electricity customers also consume gas in the Bas-Rhin department and are therefore affected by dual offers. In the area...</w:t>
      </w:r>
    </w:p>
    <w:p>
      <w:r>
        <w:rPr>
          <w:b/>
        </w:rPr>
        <w:t>[Pages 13–15]</w:t>
      </w:r>
    </w:p>
    <w:p>
      <w:r>
        <w:t>directly affected by the transaction, namely the more restricted area of the Strasbourg agglomeration, this proportion is approximately 44% according to the market test.</w:t>
      </w:r>
    </w:p>
    <w:p>
      <w:r>
        <w:t>67. It should also be noted that offers combining gas and electricity constitute a very significant development lever for operators wishing to attract customers in the segment of residential customers and small professionals. Several respondents to the market test indicated that it was difficult for them to compete directly with established operators in their historical market given the attractiveness of regulated tariffs, which results both from the level of these tariffs, particularly in electricity, and from the security they represent in the eyes of many consumers. Offering dual offers at market conditions thus allows these new entrants to provide services, such as a one-stop shop or a single bill, that may sufficiently interest consumers to persuade them to leave the historical operators. The new entity will therefore be strongly incentivized to leverage its increased capacity to offer dual offers to prevent the entry of new competitors.</w:t>
      </w:r>
    </w:p>
    <w:p>
      <w:r>
        <w:t>68. Indeed, following the transaction, the local quasi-monopoly of the new entity in both electricity and gas in the overlapping area of the respective services of ES and Enerest will allow it to make dual offers that no competitor will be able to replicate. The new entity will then have the ability to eliminate its competitors in several ways.</w:t>
      </w:r>
    </w:p>
    <w:p>
      <w:r>
        <w:t>69. First, the new entity will be able to promote the immobility of its customers by protecting its activities as an energy supplier at regulated tariffs. Thus, in a context where the open market remains underdeveloped, the vast majority of consumers located in the Strasbourg region will be able to benefit from regulated tariffs for electricity and gas from a single operator. Given the low mobility of consumers observed at both the national and local levels, the strength of the brand image of historical operators, the attachment of customers to regulated tariffs, and the value placed on dual offers, it cannot be excluded that the transaction further reduces these customers' incentive to change energy suppliers.</w:t>
      </w:r>
    </w:p>
    <w:p>
      <w:r>
        <w:t>70. Second, the new entity will be able to offer combinations of a regulated tariff for one energy and a market price for the other, relying on its brand image and the possibility of subsequently returning to the regulated tariff without changing operators. Such offers will allow the new entity to use the legal monopoly it holds for the supply of electricity or gas at regulated tariffs as a development lever in the open market, through offers that its competitors will not be able to replicate and which will exert an exclusionary effect on them. In this regard, while the notifying party defends against conceiving such offers as a development axis, it should be noted that ES is already offering a dual offer combining the regulated tariff for electricity and a market price for gas. The existence of such an offer thus supports the reality of the risk of restriction of competition raised by the transaction.</w:t>
      </w:r>
    </w:p>
    <w:p>
      <w:r>
        <w:t>71. Third, the new entity will benefit, following the transaction, from detailed information on the levels and modes of consumption of nearly all customers in the overlapping area of the historical services of ES and Enerest. Indeed, the new entity will possess the customer files of the historical distribution areas of ES and Enerest and will thereby hold essential information, namely the history of subscribed powers, the estimated annual consumption volume, the type of metering device, and the peak/off-peak time slots for electricity, the history of the estimated annual consumption volume, and the consumption profile for gas. The possession of this information constitutes a decisive commercial advantage insofar as it will allow the new entity to develop commercial offers particularly tailored to its prospects, which its competitors will not be able to do. The latter do not have this information and will only be able to gather comparable data through individual information requests from each customer. These customer outreach costs represent an expense for alternative suppliers that the new entity will not incur in the open market. By exploiting this information asymmetry, the new entity will also be able to offer dual offers that its competitors will not be able to replicate and which will exert an exclusionary effect on them.</w:t>
      </w:r>
    </w:p>
    <w:p>
      <w:r>
        <w:t>2. EFFECTS ON THE MARKETS IN QUESTION</w:t>
      </w:r>
    </w:p>
    <w:p>
      <w:r>
        <w:t>72. The Competition Council, seized notably of the implementation by a local energy distributor linking in a single offer the supply of electricity at regulated tariffs to other services, found that such a practice "has the object and effect of permanently closing the local electricity supply market to future operators [by creating] artificial barriers to entry into the market."</w:t>
      </w:r>
    </w:p>
    <w:p>
      <w:r>
        <w:t>73. As established, dual offers potentially concern [30-40]% of customers in Bas-Rhin and 44% of customers located in the Strasbourg agglomeration, the overlapping area of the historical services of the parties. This effect is indeed localized, but it nonetheless affects the core of the activities concerned by the transaction.</w:t>
      </w:r>
    </w:p>
    <w:p>
      <w:r>
        <w:t>74. Furthermore, as indicated above, dual offers constitute the main entry lever into the electricity markets for gas suppliers. The transaction, by strengthening the barriers to entry in this market, therefore risks preventing the development of competition.</w:t>
      </w:r>
    </w:p>
    <w:p>
      <w:r>
        <w:t>75. Given all these elements, the notified transaction is likely to harm competition in the markets for the supply of electricity and gas to individuals and small professionals in the overlapping area of the historical services of ES and Enerest through conglomerate effects.</w:t>
      </w:r>
    </w:p>
    <w:p>
      <w:r>
        <w:t>IV. Corrective Measures</w:t>
      </w:r>
    </w:p>
    <w:p>
      <w:r>
        <w:t>A. PROPOSED CORRECTIVE MEASURES</w:t>
      </w:r>
    </w:p>
    <w:p>
      <w:r>
        <w:t>76. The notifying party presented commitments on January 17, 2012, to address the serious doubts about the impact on competition raised by the transaction. These commitments were subject to a market test with the competitors of ES and Enerest. The content of all the commitments was discussed before being formulated definitively on February 6, 2012. It is in this version that they are presented below.</w:t>
      </w:r>
    </w:p>
    <w:p>
      <w:r>
        <w:t>a) Commitments regarding offers combining regulated tariff and market offer</w:t>
      </w:r>
    </w:p>
    <w:p>
      <w:r>
        <w:t>77. ES has committed not to make offers combining a regulated tariff in one energy and a market offer in the other energy or a regulated tariff for each of the energies (hereinafter "combined offers") in the overlapping area of the historical services of ES and Enerest.</w:t>
      </w:r>
    </w:p>
    <w:p>
      <w:r>
        <w:t>78. To make this commitment effective, ES has committed to functionally separate the electricity sales teams from those responsible for gas sales, with each team being unable to present, propose, market, or conclude any offer in the other energy to customers. Each team has a specific phone number. ES has also committed not to conduct any promotional actions for combined offers directed at customers in the geographical area.</w:t>
      </w:r>
    </w:p>
    <w:p>
      <w:r>
        <w:t>b) Commitment regarding access to customer information</w:t>
      </w:r>
    </w:p>
    <w:p>
      <w:r>
        <w:t>79. ES has committed to provide access to the commercial information necessary to develop relevant commercial proposals (namely the history of subscribed powers, the estimated annual consumption volume, the type of metering device, and the peak/off-peak time slots for electricity and the history of the estimated annual consumption volume and the consumption profile for gas) to any supplier who requests it in writing.</w:t>
      </w:r>
    </w:p>
    <w:p>
      <w:r>
        <w:t>80. The communication of this information being subject to the prior authorization of the concerned customers, ES has committed to make its best efforts to obtain the express authorization of its customers through postal or electronic correspondence.</w:t>
      </w:r>
    </w:p>
    <w:p>
      <w:r>
        <w:t>c) The trustee and the separate management of assets</w:t>
      </w:r>
    </w:p>
    <w:p>
      <w:r>
        <w:t>81. The commitments submitted by the parties provide for the appointment of an independent trustee approved by the Competition Authority. This trustee will ensure the implementation of all the commitments described above.</w:t>
      </w:r>
    </w:p>
    <w:p>
      <w:r>
        <w:t>d) Duration of commitments</w:t>
      </w:r>
    </w:p>
    <w:p>
      <w:r>
        <w:t>82. ES has undertaken these commitments for an initial period expiring on December 31, 2015. This date corresponds to the deadline set out in Article 13 of the NOME law, after which the regulated tariffs for the sale of electricity should be established "taking into account the addition of the regulated access price to historical nuclear electricity, the cost of the complement...</w:t>
      </w:r>
    </w:p>
    <w:p>
      <w:r>
        <w:rPr>
          <w:b/>
        </w:rPr>
        <w:t>[Pages 16–17]</w:t>
      </w:r>
    </w:p>
    <w:p>
      <w:r>
        <w:t>to the supply of electricity, which includes the capacity guarantee, the costs of electricity transmission, and marketing costs, as well as a normal remuneration." As the Authority has already had the opportunity to point out, the implementation of this provision should ensure the neutrality of these tariffs concerning the competitive conditions between suppliers. This legal deadline thus justifies the duration of the commitments in this case. The lifting, extension, or modification of the commitments after this date is therefore subject to an examination of the evolution of the legal and regulatory framework and the competitive situation in the geographical area.</w:t>
      </w:r>
    </w:p>
    <w:p>
      <w:r>
        <w:t>B. ASSESSMENT OF THE PROPOSED MEASURES</w:t>
        <w:br/>
        <w:t>a) Assessment of measures related to the practice of combined offers</w:t>
        <w:br/>
        <w:t>83. Before being definitively formulated, the initial proposal of the notifying party was submitted to a test with alternative suppliers. The proposed commitments were then the subject of in-depth discussions and evolved during the procedure. The investigation thus highlighted the inadequacy of the initially proposed commitments, as they prohibited the new entity from making combined offers while reserving the possibility of presenting, during the same commercial contact, all of its offers, both in gas and electricity, at regulated tariffs as well as market offers.</w:t>
        <w:br/>
        <w:t>84. In order to ensure the effectiveness of the commitments and to allow for their implementation to be monitored, the notifying party modified its proposal to ultimately commit to separating its sales teams for gas and electricity. These teams will offer strictly distinct offers and will be reachable through a separate phone number. As a result, a customer calling the gas team will not be offered an electricity offer and vice versa.</w:t>
        <w:br/>
        <w:t>85. However, these commitments will not prevent the new entity from offering its customers supply offers that cover both electricity and gas under market conditions. Such offers will nevertheless be subject to specific commercial treatment and may not, under any circumstances, include a component at regulated tariffs. Furthermore, these offers will be marketed in a market environment under which alternative suppliers will have access to information on the consumption of customers of the new entity, in accordance with the commitments made for this purpose, allowing them to compete with Electricité de Strasbourg on an equal footing.</w:t>
        <w:br/>
        <w:t>86. The commitment in its final version is therefore capable of addressing the identified competition concerns. Indeed, by committing not to offer combined offers, the new entity will not be able to rely on its activities as a supplier of energy at regulated tariffs to restrict competitive conditions with respect to alternative suppliers wishing to offer free offers, including dual offers. The functional separation of the gas and electricity sales teams ensures the effectiveness and controllability of such a commitment, in accordance with the Authority's decision-making practice.</w:t>
      </w:r>
    </w:p>
    <w:p>
      <w:r>
        <w:t>b) Assessment of measures related to access to customer information</w:t>
        <w:br/>
        <w:t>87. In order for the new entity not to rely on the information it has regarding its customers' consumption to favor its activities in the open market under conditions where its competitors could only counter this asymmetry by incurring additional costs, ES has committed to granting access to any supplier who requests it to the commercial information necessary for the development of tailored offers.</w:t>
        <w:br/>
        <w:t>88. The assessment of the relevance of the information concerned was subject to a market test, the results of which led the notifying party to supplement and clarify its initial proposal. The information covered by the final version of the commitments is sufficient for alternative suppliers to develop tailored commercial offers based on the levels and modes of consumption of each customer. Thus, the commitment is designed to neutralize the informational advantage that the new entity would have benefited from following the transaction due to its control of this information and to allow alternative suppliers to effectively compete with the new entity based on dual offers.</w:t>
        <w:br/>
        <w:t>89. In the context of developing this commitment, the Authority was particularly attentive to the strict application of the provisions of the so-called "Informatique et Libertés" law. These provisions notably require the prior collection of the express authorization of customers for the dissemination of information concerning them. The services of the CNIL have thus confirmed that the proposed system was, subject to a more in-depth analysis of the practical conditions for implementing the commitments, compliant with legal requirements insofar as the information concerned will be subject to a limited retention period, its transmission will be ensured within a robust security system, and Electricité de Strasbourg and alternative suppliers will fulfill the prior formalities with the CNIL for the processing of information.</w:t>
        <w:br/>
        <w:t>90. Given this context, the proposed commitments remedy the anti-competitive effects of the transaction as outlined above.</w:t>
      </w:r>
    </w:p>
    <w:p>
      <w:r>
        <w:t>DECIDES</w:t>
        <w:br/>
        <w:t>Sole Article: The transaction notified under number 11-168 is authorized subject to the commitments described above and annexed to this decision.</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