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https://www.autoritedelaconcurrence.fr/fr/decision-de-controle-des-concentrations/relative-la-prise-de-controle-exclusif-des-actifs-conforama</w:t>
      </w:r>
    </w:p>
    <w:p>
      <w:r>
        <w:t>Pages translated : 5</w:t>
      </w:r>
    </w:p>
    <w:p/>
    <w:p>
      <w:r>
        <w:rPr>
          <w:b/>
        </w:rPr>
        <w:t>[Pages 1–3]</w:t>
      </w:r>
    </w:p>
    <w:p>
      <w:r>
        <w:t xml:space="preserve">FRENCH REPUBLIC  </w:t>
        <w:br/>
        <w:t xml:space="preserve">Decision No. 21-DEX-01 of September 15, 2021  </w:t>
        <w:br/>
        <w:t xml:space="preserve">regarding the exclusive control of Conforama France's assets by  </w:t>
        <w:br/>
        <w:t xml:space="preserve">the company Mobilux  </w:t>
        <w:br/>
        <w:t xml:space="preserve">The Competition Authority,  </w:t>
        <w:br/>
        <w:t xml:space="preserve">Having regard to the request for referral submitted on June 22, 2020, by the company Mobilux and the referral decision of the European Commission dated June 26, 2020, made pursuant to Article 4 paragraph 4 of Regulation (EC) No. 139/2004 of the Council of January 20, 2004, concerning the control of concentrations between undertakings;  </w:t>
        <w:br/>
        <w:t xml:space="preserve">Having regard to the notification file sent to the merger service on July 17, 2020, declared complete on December 1, 2020, concerning the exclusive control of Conforama France's assets by Mobilux, formalized by a transfer agreement dated July 7, 2020, and a conciliation protocol approved by the Commercial Court of Bobigny on September 21, 2020;  </w:t>
        <w:br/>
        <w:t xml:space="preserve">Having regard to Book IV of the Commercial Code concerning price freedom and competition, and in particular Articles L. 430-1 to L. 430-7;  </w:t>
        <w:br/>
        <w:t xml:space="preserve">Having regard to the additional elements submitted by the notifying party during the investigation;  </w:t>
        <w:br/>
        <w:t xml:space="preserve">Having regard to the other documents in the file;  </w:t>
        <w:br/>
        <w:t>Adopts the following decision:</w:t>
      </w:r>
    </w:p>
    <w:p>
      <w:r>
        <w:t>1. Mobilux SARL is the parent company of But International, which itself owns the company But. Mobilux is equally controlled by the company Clayton, Dubilier &amp; Rice LLC, a subsidiary of the American investment fund Clayton, Dubilier &amp; Rice (hereinafter, "CD&amp;R") and by the company WM Holding GmbH (hereinafter, "WM") ultimately controlled by Mr. [...]. The latter also holds interests in the Poco group of companies and in the XXXLutz group, both of which are active in the retail distribution of furniture and decoration products through outlets located outside of France. But is active in the retail distribution sector, both in-store and online, of furniture, decoration, and household appliance products, in metropolitan France and in the overseas departments and regions. It distributes these products through a network of 302 stores under the BUT brand, either owned or franchised, and via its website.</w:t>
      </w:r>
    </w:p>
    <w:p>
      <w:r>
        <w:t>2. The target assets are held by Conforama Holding, the parent company of the Conforama group, active in the retail distribution sector, both in-store and online, of furniture, decoration, and household appliance products. The target assets consist notably of 172 points of sale, including 8 franchised stores, in metropolitan France and in the overseas departments and regions, as well as a website and the brands Confo! and Conforama.</w:t>
      </w:r>
    </w:p>
    <w:p>
      <w:r>
        <w:t>3. As it results in the exclusive control of Conforama France's assets by Mobilux, the notified operation constitutes a concentration within the meaning of Article L. 430-1 of the Commercial Code.</w:t>
      </w:r>
    </w:p>
    <w:p>
      <w:r>
        <w:t>4. This operation falls under the jurisdiction of the European Union pursuant to Article 1 paragraph 2 of Regulation (EC) No. 139/2004 of the Council on concentrations. Indeed, the concerned companies have together achieved a consolidated worldwide turnover excluding taxes of more than 5 billion euros (CD&amp;R/WM/Mobilux: [&gt; 5] billion euros for the fiscal year ending in 2019; Conforama France assets: […] billion euros for the fiscal year ending in 2019). Furthermore, each of them has achieved a turnover in the European Union exceeding 250 million euros (CD&amp;R/WM/Mobilux: [&gt;250] million euros for the fiscal year ending in 2019; Conforama France assets: [&gt;250] million euros for the fiscal year ending in 2019). Finally, only the assets of Conforama France generated more than two-thirds of their turnover in the European Union in a single Member State, France.</w:t>
      </w:r>
    </w:p>
    <w:p>
      <w:r>
        <w:t>5. On June 22, 2020, Mobilux requested the European Commission, by means of a reasoned memorandum, to refer the operation in its entirety to the Competition Authority, pursuant to Article 4, paragraph 4 of the aforementioned Regulation No. 139/2004. By decision M.9894 dated June 26, 2020, the European Commission considered that the conditions for a referral to the Competition Authority were met. The exclusive control of Conforama France's assets by Mobilux is therefore subject, pursuant to IV of Article L. 430-2 of the Commercial Code, to French merger control. The notification of the operation was sent to the Competition Authority on July 17, 2020, and the file was declared complete on December 1, 2020.</w:t>
      </w:r>
    </w:p>
    <w:p>
      <w:r>
        <w:t>6. The markets concerned by the operation fall within the sectors of the distribution of decoration and bazaar products, household appliances, and furniture. According to consistent decision-making practice, two categories of markets can be delineated in this sector: the upstream supply markets and the downstream retail distribution markets for these products.</w:t>
      </w:r>
    </w:p>
    <w:p>
      <w:r>
        <w:t>7. Regarding the upstream supply markets, the parties are present as buyers in the supply markets for (i) furniture, (ii) bazaar-decoration, (iii) small household appliances, (iv) large household appliances, (v) photo/cinema equipment, (vi) hi-fi/sound equipment, (vii) TV/video equipment, and (viii) computers/peripherals. More specifically concerning the supply of furniture, the European Commission has recently considered segmenting the market based on customer distribution channels, product price range, the nature of the furniture (pre-assembled or to be assembled by the consumer), and according to the types or uses of furniture.</w:t>
      </w:r>
    </w:p>
    <w:p>
      <w:r>
        <w:t>8. Decision-making practice has considered that the supply markets for household appliances have at least a national dimension, if not a European one, and that the supply market for decoration and bazaar products could have a global dimension. Finally, in the upstream supply markets for furniture products, the European Commission has recently ruled in favor of a market of European dimension.</w:t>
      </w:r>
    </w:p>
    <w:p>
      <w:r>
        <w:t>9. Regarding the downstream retail distribution markets, the parties are active in the retail distribution markets for decoration and bazaar products, household appliances, and furniture products.</w:t>
      </w:r>
    </w:p>
    <w:p>
      <w:r>
        <w:t>10. More specifically concerning the latter market, furniture products encompass all products intended to furnish the rooms of a dwelling (chairs, sofas, tables, kitchen units, bathroom units, bedding, buffets, storage, desks, etc.).</w:t>
      </w:r>
    </w:p>
    <w:p>
      <w:r>
        <w:t>11. Decision-making practice has considered a distinction based on price range by distinguishing, on the one hand, the marketing of entry-level and mid-range furniture and, on the other hand, high-end furniture. Decision-making practice has also considered segmentation according to the distribution channel.</w:t>
      </w:r>
    </w:p>
    <w:p>
      <w:r>
        <w:t xml:space="preserve">12. Furniture products are sold by different categories of suppliers, mainly consisting of:  </w:t>
        <w:br/>
        <w:t xml:space="preserve">- large specialized stores in furniture products (hereinafter "GSS"), such as the parties as well as Ikea and Alinéa, which offer a wide assortment of products and are present across all categories of furniture; they favor flat-pack furniture (sold in kits) and generally offer entry-level products;  </w:t>
        <w:br/>
        <w:t>- generalist furniture brands whose offer is centered on assembled furniture and have a mid to high price positioning.</w:t>
      </w:r>
    </w:p>
    <w:p>
      <w:r>
        <w:rPr>
          <w:b/>
        </w:rPr>
        <w:t>[Pages 4–5]</w:t>
      </w:r>
    </w:p>
    <w:p>
      <w:r>
        <w:t>example Maison du Monde, Habitat, Cinna or Ligne Roset; the retail outlets of these brands are generally smaller in size than those of the previously mentioned large specialized stores (GSS);</w:t>
      </w:r>
    </w:p>
    <w:p>
      <w:r>
        <w:t>- actors specialized in a single category of furniture products, such as kitchen or bathroom furniture, bedding, or sofas and armchairs;</w:t>
      </w:r>
    </w:p>
    <w:p>
      <w:r>
        <w:t>- large DIY stores (hereinafter "GSB") that have developed a range of home improvement products, including both products for carrying out work and products intended for home furnishing.</w:t>
      </w:r>
    </w:p>
    <w:p>
      <w:r>
        <w:t>13. Furthermore, furniture products can be sold online, either by operators who also have a network of stores or by operators offering only an online presence.</w:t>
      </w:r>
    </w:p>
    <w:p>
      <w:r>
        <w:t>14. These different retail distribution markets have a local dimension. However, the positions of the various players at the national level as well as the characteristics of the markets for the products concerned must be taken into account in order to inform the analysis of the effects of the operation on the different local markets. Indeed, significant competitive parameters can be assessed at the national level, particularly when prices are largely determined at this level by network heads, leaving only a small margin for price maneuvering for store managers. Similarly, certain non-price strategic decisions can be centralized, such as assortment structures, after-sales services, quality controls, advertising campaigns, customer loyalty policies (for example, through loyalty cards), promotional actions or new product launches, or even the store location policy.</w:t>
      </w:r>
    </w:p>
    <w:p>
      <w:r>
        <w:t>15. The notifying party considers that the competitive analysis of the effects of the operation regarding the distribution of furniture products should be conducted by including all categories of operators mentioned in paragraph 12 of this decision. It also considers that the competitive pressure from Ikea stores located outside the local areas but within less than an hour of the store on which the analysis is focused should be taken into account, as these stores would specifically have a significant area of influence. Finally, it considers that online sales should be included in this market.</w:t>
      </w:r>
    </w:p>
    <w:p>
      <w:r>
        <w:t>16. However, it appears from decision-making practice that specialists do not exert sufficient competitive pressure on generalist furniture stores. It has indeed been noted that "while specialist distributors represent a real alternative for a portion of the clientele with specific and limited furnishing needs, they do not appear as the closest competitors to generalists with whom it is possible to satisfy all furnishing needs." The GSB, just like specialized distributors, have a reduced offering compared to that of the parties. Moreover, at this stage, it is uncertain whether these operators, particularly the specialists, have a price positioning similar to that of the parties' retail outlets.</w:t>
      </w:r>
    </w:p>
    <w:p>
      <w:r>
        <w:t>17. At this stage of the investigation, and following the market delineations of the decision-making practice recalled above, the Authority notes that based on an examination of the local markets considering only GSS in furniture products and generalist furniture brands with a price positioning close to that of the parties, namely entry-level and mid-range, the market share of the new entity will be very significant in many local areas. Indeed, it will exceed 50% or be between 25% and 50% with fewer than three competitors present in more than 80 local areas.</w:t>
      </w:r>
    </w:p>
    <w:p>
      <w:r>
        <w:t>18. Furthermore, the operation will significantly strengthen the purchasing power of the new entity in the furniture supply markets, which could place suppliers of furniture products in a situation of economic dependence or reinforce their state of economic dependence.</w:t>
      </w:r>
    </w:p>
    <w:p>
      <w:r>
        <w:t>19. Consequently, the Authority considers that there remains a serious doubt regarding the impact on competition resulting from the operation at the conclusion of the examination provided for in I of Article L. 430-5 of the Commercial Code.</w:t>
      </w:r>
    </w:p>
    <w:p>
      <w:r>
        <w:t>20. The notifying party also raises an argument based on the failing firm defense to challenge any anticompetitive effect resulting from the operation. However, it has not provided sufficient elements at this stage to demonstrate that the criteria for this exception are met. The application of this exception requires, in any case, a thorough examination, which can only be carried out during the in-depth review phase.</w:t>
      </w:r>
    </w:p>
    <w:p>
      <w:r>
        <w:t>21. Given all the preceding elements, it is necessary to initiate an in-depth examination of the present operation, pursuant to the third bullet of III of Article L. 430-5 of the Commercial Code.</w:t>
      </w:r>
    </w:p>
    <w:p>
      <w:r>
        <w:t>DECIDES</w:t>
      </w:r>
    </w:p>
    <w:p>
      <w:r>
        <w:t>Sole Article: The operation notified under number 20-102 is subject to an in-depth examination under the conditions provided for in Article L. 430-6 of the Commercial Code.</w:t>
      </w:r>
    </w:p>
    <w:p>
      <w:r>
        <w:t>The President,</w:t>
        <w:br/>
        <w:t>Isabelle de Silva</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