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https://www.autoritedelaconcurrence.fr/fr/decision-de-controle-des-concentrations/relative-la-prise-de-controle-exclusif-des-actifs-de-la-0</w:t>
      </w:r>
    </w:p>
    <w:p>
      <w:r>
        <w:t>Pages translated : 2</w:t>
      </w:r>
    </w:p>
    <w:p/>
    <w:p>
      <w:r>
        <w:rPr>
          <w:b/>
        </w:rPr>
        <w:t>[Pages 1–2]</w:t>
      </w:r>
    </w:p>
    <w:p>
      <w:r>
        <w:t xml:space="preserve">FRENCH REPUBLIC  </w:t>
        <w:br/>
        <w:t xml:space="preserve">Decision No. 21-DCC-119 of July 7, 2021  </w:t>
        <w:br/>
        <w:t>regarding the exclusive control acquisition of the assets of the agricultural cooperative France Champignon by the Bonduelle group</w:t>
      </w:r>
    </w:p>
    <w:p>
      <w:r>
        <w:t>The Competition Authority,</w:t>
      </w:r>
    </w:p>
    <w:p>
      <w:r>
        <w:t>Having regard to the notification file sent to the mergers department on December 22, 2020, and declared complete on June 17, 2021, concerning the exclusive control acquisition by the company SCA Cultures France Champignon, a subsidiary of the Bonduelle group, of the assets of the agricultural cooperative France Champignon, formalized by a takeover offer dated December 28, 2020, and the judgment of the judicial court of Saumur dated February 18, 2021;</w:t>
      </w:r>
    </w:p>
    <w:p>
      <w:r>
        <w:t>Having regard to Book IV of the Commercial Code relating to the freedom of prices and competition, and in particular its Articles L. 430-1 to L. 430-7;</w:t>
      </w:r>
    </w:p>
    <w:p>
      <w:r>
        <w:t>Having regard to the elements transmitted by the notifying party during the investigation;</w:t>
      </w:r>
    </w:p>
    <w:p>
      <w:r>
        <w:t xml:space="preserve">Adopts the following decision:  </w:t>
        <w:br/>
        <w:t xml:space="preserve">1. The notified operation consists of the exclusive control acquisition by the Bonduelle group of the assets of the agricultural cooperative France Champignon, primarily active in the sector of production, processing, and marketing of mushrooms.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The operation leads to the acquisition of exclusive control of the target company by a group, in this case Bonduelle, which previously exercised joint control over it prior to the operation. In light of the elements of the file, the operation is not likely to harm competition in the relevant markets.</w:t>
      </w:r>
    </w:p>
    <w:p>
      <w:r>
        <w:t xml:space="preserve">DECIDES  </w:t>
        <w:br/>
        <w:t xml:space="preserve">Sole Article: The operation notified under number 20-263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