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https://www.autoritedelaconcurrence.fr/fr/decision-de-controle-des-concentrations/relative-la-prise-de-controle-exclusif-des-actifs-de-la-1</w:t>
      </w:r>
    </w:p>
    <w:p>
      <w:r>
        <w:t>Pages translated : 2</w:t>
      </w:r>
    </w:p>
    <w:p/>
    <w:p>
      <w:r>
        <w:rPr>
          <w:b/>
        </w:rPr>
        <w:t>[Pages 1–2]</w:t>
      </w:r>
    </w:p>
    <w:p>
      <w:r>
        <w:t xml:space="preserve">FRENCH REPUBLIC  </w:t>
        <w:br/>
        <w:t xml:space="preserve">Decision No. 24-DCC-270 of December 5, 2024  </w:t>
        <w:br/>
        <w:t xml:space="preserve">regarding the exclusive control acquisition of the assets of the company Pronadis  </w:t>
        <w:br/>
        <w:t xml:space="preserve">by the company Organic Life  </w:t>
        <w:br/>
        <w:t xml:space="preserve">The Competition Authority,  </w:t>
        <w:br/>
        <w:t xml:space="preserve">Having regard to the notification file sent to the mergers department on October 14, 2024, declared complete on November 28, 2024, concerning the exclusive control acquisition of the assets of the company Pronadis by the company Organic Life, formalized by a takeover offer dated October 30, 2024, and the judgment of the Commercial Court of Bordeaux dated November 26, 2024;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the company Organic Life of the assets of the company Pronadis. These represent all the assets comprising the business of the company Pronadis, which is active in the wholesale distribution sector of products derived from organic agriculture.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24-227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