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https://www.autoritedelaconcurrence.fr/fr/decision-de-controle-des-concentrations/relative-la-prise-de-controle-exclusif-des-actifs-de-la</w:t>
      </w:r>
    </w:p>
    <w:p>
      <w:r>
        <w:t>Pages translated : 5</w:t>
      </w:r>
    </w:p>
    <w:p/>
    <w:p>
      <w:r>
        <w:rPr>
          <w:b/>
        </w:rPr>
        <w:t>[Pages 1–3]</w:t>
      </w:r>
    </w:p>
    <w:p>
      <w:r>
        <w:t xml:space="preserve">FRENCH REPUBLIC  </w:t>
        <w:br/>
        <w:t xml:space="preserve">Decision No. 16-DCC-42 of March 10, 2016  </w:t>
        <w:br/>
        <w:t>regarding the exclusive control of the assets of Logitec by AMG Développement</w:t>
      </w:r>
    </w:p>
    <w:p>
      <w:r>
        <w:t xml:space="preserve">The Competition Authority,  </w:t>
        <w:br/>
        <w:t xml:space="preserve">Having regard to the notification file sent to the merger service on November 9, 2015, and declared complete on February 8, 2016, concerning the exclusive control of the assets of Logitec by AMG Développement, formalized by a takeover offer dated October 22, 2015;  </w:t>
        <w:br/>
        <w:t xml:space="preserve">Having regard to Book IV of the Commercial Code relating to the freedom of prices and competition, and in particular its Articles L. 430-1 to L. 430-10;  </w:t>
        <w:br/>
        <w:t xml:space="preserve">Having regard to the supplementary elements transmitted by the parties during the investigation;  </w:t>
        <w:br/>
        <w:t>Adopts the following decision:</w:t>
      </w:r>
    </w:p>
    <w:p>
      <w:r>
        <w:t xml:space="preserve">I. The concerned companies and the operation  </w:t>
        <w:br/>
        <w:t xml:space="preserve">1. AMG Développement SA is the parent company of the GPdis France group (hereinafter, "GPdis"). It is subject to the fluctuating control of family shareholders who hold 90% of the capital without having concluded a governance pact. The investment funds CM-CIC Asset Management and Arkea Capital Investissement hold the remaining capital without any special voting rights that could confer upon them, alone or jointly, a decisive influence over the company. A shareholders' agreement concluded among all partners governs the principles of preemption in the event that a partner expresses the desire to sell their stake.  </w:t>
        <w:br/>
        <w:t xml:space="preserve">2. GPdis operates as a wholesaler as a purchasing and referencing center, through its subsidiary Selectis SAS, in household appliances on behalf of specialized professional reseller networks Pulsat (370 stores), Competence (86 stores), DEFis (80 stores), Antennes @ndom (178 stores), and Avelis connect (61 stores). GPdis operates, in its own right, 40 stores mainly under the Pix’Hall Collectivités1 and EDM Demarq brands, as well as 4 Pulsat stores. GPdis provides logistics (reception, shipping, delivery) on behalf of the retailers.  </w:t>
        <w:br/>
        <w:t xml:space="preserve">3. Logitec SAS, until its judicial reorganization by judgment of the Commercial Court of Arras on October 2, 2015, was controlled by the company Euronics France2. The company Logitec is the purchasing and referencing center of the cooperative company Euronics France, which operates a network of approximately 150 stores under the Gitem-Euronics brands3. Logitec is responsible for negotiating with suppliers the referencing, general purchasing conditions, framework agreements, and warranty conditions on behalf of the Euronics France cooperative stores.  </w:t>
        <w:br/>
        <w:t xml:space="preserve">4. As part of the insolvency proceedings, AMG Développement sent, on October 22, 2015, a takeover offer to the judicial administrator. By a judgment dated December 4, 2015, the Commercial Court of Arras approved the asset transfer plan of Logitec in favor of AMG Développement. Insofar as it results in the exclusive control of the assets of Logitec by AMG Développement, the operation constitutes a concentration within the meaning of Article L. 430-1 of the Commercial Code.  </w:t>
        <w:br/>
        <w:t>5. The concerned companies together generate a total worldwide turnover excluding taxes of more than 150 million euros (AMG Développement: 384.8 million euros for the fiscal year ending December 31, 2014; assets of Logitec: 120.7 million euros for the same fiscal year). Each of these companies has generated, in France, a turnover exceeding 50 million euros (AMG Développement: 363.3 million euros for the fiscal year ending December 31, 2014; assets of Logitec: 109.8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6. The parties are present in the sector of distribution of household appliances as purchasing and referencing centers for so-called "white"4, "brown"5, and "grey"6 products. They are thus simultaneously active as buyers in the upstream supply markets for these products (1) and as sellers in the wholesale distribution market to the retail networks affiliated with their purchasing center, such as the Gitem, Euronics, and Pulsat brands (2).  </w:t>
        <w:br/>
        <w:t xml:space="preserve">7. At the retail stage, the Authority and the Council of State have recalled that the market power of a distributor must be assessed taking into account the stores owned outright and those operated in a network, regardless of their legal status, as long as their policy  </w:t>
        <w:br/>
        <w:t xml:space="preserve">2 The company HTM Group SA (Boulanger, Electro-Dépôt, Clixity) held a non-controlling stake of 35% in the capital of Logitec.  </w:t>
        <w:br/>
        <w:t xml:space="preserve">3 The capital of Euronics France is therefore held by the retail stores that are members of the network.  </w:t>
        <w:br/>
        <w:t xml:space="preserve">4 Cooking tables, cookers, ovens, built-in sets, hoods, washing machines, dryers, dishwashers, refrigerators, freezers, small household appliances for food preparation, coffee makers, robots, irons, and vacuum cleaners.  </w:t>
        <w:br/>
        <w:t xml:space="preserve">5 Televisions, VCRs, camcorders, hi-fi and audio equipment, digital devices, and DVD players.  </w:t>
        <w:br/>
        <w:t>6 Personal computers, screens, peripherals (such as printers or scanners), keyboards, accessories or modular spare parts (such as memory cards or additional hard drives, for example), software, and telephony.</w:t>
      </w:r>
    </w:p>
    <w:p>
      <w:r>
        <w:t xml:space="preserve">commercial network is not sufficiently autonomous from the network head. The Authority specifically considered that the following criteria could infer the absence of autonomy of network members: (i) the possibility for the network head to set maximum prices for its members, affecting the member's freedom to set their prices independently, (ii) the obligation for members to source a significant portion of their purchases from the group, (iii) the obligation to comply with preemption, substitution, and preference clauses benefiting the group in the event of the sale of their store outside the family scope, (iv) the obligation to participate in a certain number of promotional operations per year, during which members must sell the products at the prices indicated in the advertising documents, (v) the obligation to reference more than 50% of the product lines of the network head, (vi) the more or less long duration of contracts.7  </w:t>
        <w:br/>
        <w:t>8. In this case, the analysis of the parties' brand contracts reveals that they do not deprive retailers of their commercial autonomy, as they remain entirely free to determine their selling prices. The parties' brand contracts also do not contain any provisions that would hinder retailers from exiting the networks to which they belong. Finally, the referencing obligations contained in the brand contracts are limited and concern less than half of the products marketed. Retailers bound by a brand contract with the parties enjoy sufficient commercial autonomy and therefore do not contribute to the parties' positions downstream. The operation therefore does not result in any overlap of activity in the downstream retail markets for household appliances.</w:t>
      </w:r>
    </w:p>
    <w:p>
      <w:r>
        <w:t xml:space="preserve">1. UPSTREAM SUPPLY MARKETS FOR HOUSEHOLD APPLIANCES  </w:t>
        <w:br/>
        <w:t xml:space="preserve">9. Regarding the upstream supply markets, decision-making practice considers that "producers manufacture specific product groups and are not able to easily convert to the manufacture of other products"8. Furthermore, decision-making practice considers that at the level of supply for household appliances, there are as many markets as there are product families subject to negotiation, with each distributor putting different suppliers in competition in each of the markets9. Thus, segmentation by product group has been considered the most relevant.  </w:t>
        <w:br/>
        <w:t xml:space="preserve">10. Based on the organization of the "purchasing" divisions of distributors, decision-making practice10 segments the market according to the following product groups: (i) large household appliances; (ii) small household appliances; (iii) cameras / cinema; (iv) hi-fi / sound equipment; (v) TV / video equipment; (vi) computers / peripherals; and (vii) telephony.  </w:t>
        <w:br/>
        <w:t xml:space="preserve">11. Geographically, competition authorities, without definitively closing the definition of the relevant market, have referred to national, or even European11, markets.  </w:t>
        <w:br/>
        <w:t xml:space="preserve">7 See, for example, the Authority's decision No. 15-DCC-15 of February 23, 2015, regarding the exclusive control of Nobia Holding France SAS by Fournier SA, point 44.  </w:t>
        <w:br/>
        <w:t xml:space="preserve">8 See in particular the opinion of the Competition Council 07-A-06 of July 16, 2007, regarding the acquisition by Cafom of the distribution pole of Fincar in the home equipment sales sector; the letter from the Minister of Economy, Finance and Employment dated August 31, 2007, to the board of Cafom, regarding a concentration in the home equipment sales sector.  </w:t>
        <w:br/>
        <w:t xml:space="preserve">9 See in particular decision No. 11-DCC-87 of June 10, 2011, regarding the exclusive control of Media Concorde SNC by High Tech Multicanal Group.  </w:t>
        <w:br/>
        <w:t xml:space="preserve">10 Id.  </w:t>
        <w:br/>
        <w:t>11 See in particular the Authority's decision No. 11-DCC-87 cited above, the opinion of the Competition Council 07-A-06 of July 16, 2007 cited above, the decision of Minister C2006-155 cited above, and the Authority's decisions No. 09-DCC-12, No. 09-DCC-21, and No. 09-DCC-62 cited above.</w:t>
      </w:r>
    </w:p>
    <w:p>
      <w:r>
        <w:rPr>
          <w:b/>
        </w:rPr>
        <w:t>[Pages 4–5]</w:t>
      </w:r>
    </w:p>
    <w:p>
      <w:r>
        <w:t xml:space="preserve">12. In this case, the exact definition of upstream supply markets can be left open insofar as, regardless of the segmentation or geographical delimitation chosen, the conclusions of the competitive analysis will remain unchanged.  </w:t>
        <w:br/>
        <w:t xml:space="preserve">2. WHOLESALE DISTRIBUTION MARKETS FOR HOUSEHOLD APPLIANCES  </w:t>
        <w:br/>
        <w:t xml:space="preserve">13. National12 and European13 decision-making practice has had the opportunity to consider the existence of a wholesale distribution market for household appliances.  </w:t>
        <w:br/>
        <w:t xml:space="preserve">14. Decision-making practice has considered a segmentation of the wholesale distribution of these products by product group (large household appliances (i), small household appliances (ii), cameras / cinema (iii), hi-fi / sound equipment (iv), TV / video equipment (v), computers / peripherals (vi), and telephony (vii)) and by distribution channel (to hypermarkets (i), to supermarkets (ii), to convenience stores (iii), and to distance-selling retailers (iv)).  </w:t>
        <w:br/>
        <w:t xml:space="preserve">15. At the geographical level, decision-making practice has considered the existence of wholesale distribution markets for household appliances of national, or even regional, dimension, without, however, making a definitive ruling14.  </w:t>
        <w:br/>
        <w:t xml:space="preserve">16. The activities of the parties overlap across all the aforementioned product segments primarily concerning convenience stores15 and to a more limited extent concerning supermarkets (between 10% and 15% of their sales). According to the parties, wholesalers represent only 2% of sales to supermarkets, which largely rely on their own purchasing center. Given the very marginal impact of the operation concerning supermarkets, this last distribution channel will therefore not be subject to competitive analysis.  </w:t>
        <w:br/>
        <w:t xml:space="preserve">17. In this case, the exact definition of wholesale distribution markets for household appliances can be left open insofar as, regardless of the segmentation chosen, the conclusions of the competitive analysis will remain unchanged.  </w:t>
        <w:br/>
        <w:t xml:space="preserve">III. Competitive Analysis  </w:t>
        <w:br/>
        <w:t xml:space="preserve">18. The operation leads to overlaps in activity in the upstream supply markets (1) and the intermediate market for wholesale distribution of household appliances (2). The operation also results in a vertical strengthening of the new entity, given the acquirer's activities in the retail distribution of household appliances. However, given the weak positions of the latter, any risk of lock-in can be ruled out at the outset16 and the competitive analysis will focus on the horizontal effects of the operation.  </w:t>
        <w:br/>
        <w:t xml:space="preserve">12 Decision of the Authority No. 11-DCC-200 of December 13, 2011, regarding the exclusive control of the company Dubost Holding by the company Findis.  </w:t>
        <w:br/>
        <w:t xml:space="preserve">13 Decision of the European Commission COMP/M. 4226, DSGI / Fotovista, paragraph 20.  </w:t>
        <w:br/>
        <w:t xml:space="preserve">14 See decision No. 11-DCC-200, cited above, paragraph 12.  </w:t>
        <w:br/>
        <w:t xml:space="preserve">15 Approximately 80% of the total sales of each company.  </w:t>
        <w:br/>
        <w:t xml:space="preserve">16 GPdis only directly controls four Pulsat stores and fifteen EDM Demarq discount stores.  </w:t>
        <w:br/>
        <w:t xml:space="preserve">1. UPSTREAM MARKETS FOR SUPPLYING HOUSEHOLD APPLIANCES  </w:t>
        <w:br/>
        <w:t xml:space="preserve">19. At the national level, the parties hold a cumulative purchasing share in the markets for supplying household appliances ranging from 0.2% for the photo/cinema product group to 3% for the TV/video product group.  </w:t>
        <w:br/>
        <w:t xml:space="preserve">20. The operation is therefore not likely to harm competition in the upstream markets for supplying household appliances in France.  </w:t>
        <w:br/>
        <w:t xml:space="preserve">2. WHOLESALE DISTRIBUTION MARKETS FOR HOUSEHOLD APPLIANCES  </w:t>
        <w:br/>
        <w:t xml:space="preserve">21. In the national market for wholesale distribution of household appliances to convenience stores, the parties hold a cumulative market share of 28.1% in the small household appliances segment, 14.9% in the large household appliances segment, and 15.1% in the "brown" goods segment. In the "grey" products segment, which constitutes a marginal activity for the parties (approximately 5% of cumulative turnover), the cumulative market share of the parties will be negligible, around 1%.  </w:t>
        <w:br/>
        <w:t xml:space="preserve">22. The notifying party was unable to provide market shares at the regional level. However, it specified that GPdis's regional warehouses have a range of 300 to 400 km depending on road infrastructure. The Gitem and Euronics retail networks established in France are all supplied from the single logistics platform located in Angres in the Pas-de-Calais department (62). Within a 300 km radius around the Angres depot, GPdis is only present through its platform located in Reims in the Marne department (51), at a distance of approximately 180 km.  </w:t>
        <w:br/>
        <w:t xml:space="preserve">23. In any case, the new entity will continue to face competition from numerous wholesalers both nationally and regionally, such as Findis, Pro&amp;Cie, Concerto, GGE Planete Manager, and Digital.  </w:t>
        <w:br/>
        <w:t xml:space="preserve">24. In light of these elements, the operation is not likely to harm competition in the wholesale distribution markets for household appliances in France.  </w:t>
        <w:br/>
        <w:t xml:space="preserve">DECIDES  </w:t>
        <w:br/>
        <w:t xml:space="preserve">Single Article: The operation notified under number 15-202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