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https://www.autoritedelaconcurrence.fr/fr/decision-de-controle-des-concentrations/relative-la-prise-de-controle-exclusif-des-actifs-des-0</w:t>
      </w:r>
    </w:p>
    <w:p>
      <w:r>
        <w:t>Pages translated : 4</w:t>
      </w:r>
    </w:p>
    <w:p/>
    <w:p>
      <w:r>
        <w:rPr>
          <w:b/>
        </w:rPr>
        <w:t>[Pages 1–3]</w:t>
      </w:r>
    </w:p>
    <w:p>
      <w:r>
        <w:t xml:space="preserve">FRENCH REPUBLIC  </w:t>
        <w:br/>
        <w:t xml:space="preserve">Decision No. 10-DCC-90 of August 5, 2010  </w:t>
        <w:br/>
        <w:t>regarding the exclusive control of the assets of the companies of the Girard group by Caravelle S.A.</w:t>
      </w:r>
    </w:p>
    <w:p>
      <w:r>
        <w:t xml:space="preserve">The Competition Authority,  </w:t>
        <w:br/>
        <w:t xml:space="preserve">Having regard to the notification file sent to the merger service on May 21, 2010, and declared complete on July 7, 2010, concerning the acquisition of the assets of the companies of the Girard group (hereinafter "the target companies") by Caravelle S.A, following the opening on May 6, 2010, of judicial recovery proceedings against the target companies and the judgment of the Commercial Court of La Roche-Sur-Yon dated June 9, 2010, approving the asset transfer plan of the target companies;  </w:t>
        <w:br/>
        <w:t xml:space="preserve">Having regard to Book IV of the Commercial Code relating to price and competition freedom, and in particular its Articles L. 430-1 to L. 430-7;  </w:t>
        <w:br/>
        <w:t xml:space="preserve">Having regard to the supplementary elements provided by the parties during the investigation;  </w:t>
        <w:br/>
        <w:t>Adopts the following decision:</w:t>
      </w:r>
    </w:p>
    <w:p>
      <w:r>
        <w:t xml:space="preserve">I. The concerned companies and the operation  </w:t>
        <w:br/>
        <w:t>1. Caravelle is a holding company whose activity consists of acquiring stakes in various companies and managing them. It is controlled by Mr. Pierre-André Martel and members of his family who hold [&gt;50]% of its capital through their family holding PH Finances, the remainder of the capital ([…]%) being distributed among various minority shareholders. Caravelle notably controls three companies active in the heavy equipment sector (Marrel S.A.S: manufacturing and assembly on public works machinery of dump trucks and multi-dump trucks, roll-off containers, compasses, cranes, and jacks; Edbro PLC: manufacturing hydraulic jacks for industrial vehicles; Benalu S.A.S: manufacturing dump trucks, tanks, boxes, and aluminum platforms for industrial vehicles), companies active in the pharmaceutical sector (Cooper S.A.S. and Forum Santé S.A.), and the Lamberet group active in the sector of the construction of temperature-controlled bodies.</w:t>
      </w:r>
    </w:p>
    <w:p>
      <w:r>
        <w:t>2. The Girard Group S.A (hereinafter "Girard") is a holding company owned 25% by Mr. Patrick Girard, 19.7% by company H4, 11.7% by company H5, with the remainder of the shareholding distributed among various minority shareholders. Girard, through its 31 subsidiaries, is primarily active in the furniture transport sector. Girard achieved a consolidated turnover excluding taxes of 58 million euros in 2009.</w:t>
      </w:r>
    </w:p>
    <w:p>
      <w:r>
        <w:t>3. By judgment dated May 6, 2010, the Commercial Court of La Roche-Sur-Yon opened a judicial recovery procedure for the benefit of the companies of the Girard group and joined the said procedures with the merging of assets. On May 17, Caravelle submitted an offer defining the assets it proposed to acquire. On June 1, 2010, a second offer clarified the first.</w:t>
      </w:r>
    </w:p>
    <w:p>
      <w:r>
        <w:t>4. By judgment dated June 9, 2010, the Commercial Court of La Roche-Sur-Yon converted the procedure into judicial liquidation and approved, for the benefit of Caravelle with the option of substitution by a newly created company – in this case, Girard Agediss – a transfer plan for all the assets of the companies of the Girard group. The acquisition notably concerns the following elements: intangible and tangible fixed assets related to the activities of the companies of the Girard group, accounts receivable, ongoing orders, lease contracts, financial fixed assets, real estate, and stocks of goods.</w:t>
      </w:r>
    </w:p>
    <w:p>
      <w:r>
        <w:t>5. Regarding the decisive influence of Caravelle on Girard Agediss, its capital is held [&gt;50]% by Arcole Industrie, […]% by the Business Consolidation and Development Fund, with the remainder of the shareholding distributed among various minority shareholders. None of the minority shareholders hold rights exceeding those normally conferred to them for the protection of their financial interests, Caravelle exercises exclusive control over Girard Agediss through Arcole.</w:t>
      </w:r>
    </w:p>
    <w:p>
      <w:r>
        <w:t>* * *</w:t>
      </w:r>
    </w:p>
    <w:p>
      <w:r>
        <w:t xml:space="preserve">6. Insofar as it results in the exclusive control by Caravelle of the assets of the companies of the Girard group, the notified operation constitutes a concentration within the meaning of Article L. 430-1 of the Commercial Code. Given the turnover of the concerned companies, it does not have a community dimension. However, the control thresholds mentioned in Article L. 430-2 of the Commercial Code are exceeded. The present operation is therefore subject to the provisions of Articles L. 430-3 and following of the Commercial Code relating to economic concentration.  </w:t>
        <w:br/>
        <w:t xml:space="preserve">1 On the exclusive control of Caravelle over Arcole, see the Authority's decision No. 09-DCC-07 of May 26, 2009, regarding the exclusive control of the assets of the Lamberet group by Caravelle S.A.  </w:t>
        <w:br/>
        <w:t>2 On the exclusive control of Arcole over Arcatime, see the Authority's decision No. 10-DCC-45 of May 25, 2010, regarding the exclusive control by Caravelle S.A of certain assets of DHL Express and DHL Freight SAS.</w:t>
      </w:r>
    </w:p>
    <w:p>
      <w:r>
        <w:t xml:space="preserve">II. Competitive Analysis  </w:t>
        <w:br/>
        <w:t>7. Caravelle and Girard are simultaneously present in the markets for road freight transport and "freight forwarding."</w:t>
      </w:r>
    </w:p>
    <w:p>
      <w:r>
        <w:t>8. In terms of road transport, national decision-making practice has distinguished four types of supply organization: full truckload, less-than-truckload or groupage, parcel delivery, and dedicated transport, with the corresponding services constituting as many relevant markets.</w:t>
      </w:r>
    </w:p>
    <w:p>
      <w:r>
        <w:t>9. The activity of "freight forwarding" is defined as "the organization of the transport of goods (which may include, in addition to the transport itself, various other services, such as customs clearance or warehousing) on behalf of clients according to their needs."</w:t>
      </w:r>
    </w:p>
    <w:p>
      <w:r>
        <w:t>10. Within "freight forwarding," competition authorities have segmented according to the mode of transport used between maritime, air, and land transport (including rail and road transport) and according to the destination of the transported products, between international and domestic "freight forwarding." In this case, the parties are simultaneously present only in the domestic road "freight forwarding" market. The European Commission considers that the "freight forwarding" market has a national geographical dimension.</w:t>
      </w:r>
    </w:p>
    <w:p>
      <w:r>
        <w:t>11. In this case, in the various road transport markets, Caravelle is present in the parcel delivery market while Girard is present in the less-than-truckload or groupage market, more specifically in the furniture transport sector. Consequently, the present operation does not result in any overlap of activities in these markets.</w:t>
      </w:r>
    </w:p>
    <w:p>
      <w:r>
        <w:t>12. In the domestic road "freight forwarding" market, the parties have not been able to provide their market share but estimate that it will be insignificant, with the new entity achieving a turnover of less than 10 million euros in a market estimated at over 500 million euros.</w:t>
      </w:r>
    </w:p>
    <w:p>
      <w:r>
        <w:t>13. Therefore, the present operation is not likely to harm competition through horizontal effects.</w:t>
      </w:r>
    </w:p>
    <w:p>
      <w:r>
        <w:t>14. The parties specify that the companies controlled by Caravelle are not intended to be suppliers of Girard Agediss. In any case, if that were the case, sales between these companies would remain marginal compared to the size of the relevant markets. The operation is therefore not likely to harm competition through vertical effects.</w:t>
      </w:r>
    </w:p>
    <w:p>
      <w:r>
        <w:rPr>
          <w:b/>
        </w:rPr>
        <w:t>[Pages 4–4]</w:t>
      </w:r>
    </w:p>
    <w:p>
      <w:r>
        <w:t>DECIDES</w:t>
      </w:r>
    </w:p>
    <w:p>
      <w:r>
        <w:t>Sole Article: The operation notified under number 10-0075 is authorized.</w:t>
      </w:r>
    </w:p>
    <w:p>
      <w:r>
        <w:t xml:space="preserve">The Vice-President,  </w:t>
        <w:br/>
        <w:t xml:space="preserve">Anne Perrot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