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https://www.autoritedelaconcurrence.fr/fr/decision-de-controle-des-concentrations/relative-la-prise-de-controle-exclusif-des-actifs-des-1</w:t>
      </w:r>
    </w:p>
    <w:p>
      <w:r>
        <w:t>Pages translated : 35</w:t>
      </w:r>
    </w:p>
    <w:p/>
    <w:p>
      <w:r>
        <w:rPr>
          <w:b/>
        </w:rPr>
        <w:t>[Pages 1–3]</w:t>
      </w:r>
    </w:p>
    <w:p>
      <w:r>
        <w:t xml:space="preserve">FRENCH REPUBLIC  </w:t>
        <w:br/>
        <w:t xml:space="preserve">Decision No. 17-DCC-216 of December 18, 2017  </w:t>
        <w:br/>
        <w:t xml:space="preserve">regarding the exclusive control of the assets of the companies Lilnat, Vetura, and Agora Distribution by the company Groupe Philippe Ginestet  </w:t>
        <w:br/>
        <w:t xml:space="preserve">The Competition Authority,  </w:t>
        <w:br/>
        <w:t xml:space="preserve">Having regard to the notification file sent to the merger service on June 12, 2017, declared complete on October 12, 2017, concerning the exclusive control of the assets of the companies Agora Distribution, Lilnat, and Vetura by the company Groupe Philippe Ginestet SARL, formalized by a takeover offer dated May 23, 2017, and the judgments of the Commercial Court of Bobigny dated June 26, 2017;  </w:t>
        <w:br/>
        <w:t xml:space="preserve">Having regard to Book IV of the Commercial Code relating to the freedom of prices and competition, and in particular its Articles L. 430-1 to L. 430-7;  </w:t>
        <w:br/>
        <w:t xml:space="preserve">Having regard to the commitments presented on November 15, 2017, by the notifying party and modified, most recently, on December 8, 2017;  </w:t>
        <w:br/>
        <w:t xml:space="preserve">Having regard to the supplementary elements transmitted by the notifying party during the investigation;  </w:t>
        <w:br/>
        <w:t xml:space="preserve">Having regard to the other documents in the file;  </w:t>
        <w:br/>
        <w:t>Adopts the following decision:</w:t>
      </w:r>
    </w:p>
    <w:p>
      <w:r>
        <w:t xml:space="preserve">Summary1  </w:t>
        <w:br/>
        <w:t xml:space="preserve">By the terms of the decision below, the Authority examined the exclusive control of the assets of the companies Lilnat, Vetura, and Agora Distribution by the Groupe Philippe Ginestet (hereinafter "GPG"), which operates the Gifi stores.  </w:t>
        <w:br/>
        <w:t xml:space="preserve">This operation is part of the three judicial recovery procedures opened by the Commercial Court of Bobigny on May 4, 2017, for the benefit of the companies Lilnat, Vetura, and Agora Distribution. By decision dated June 14, 2017, the Competition Authority granted GPG a derogation from the suspensive effect of the merger control, in application of Article L. 430-4 of the Commercial Code. By three judgments rendered on June 26, 2017, the Commercial Court of Bobigny designated GPG as the acquirer of the assets of the target companies.  </w:t>
        <w:br/>
        <w:t xml:space="preserve">The Authority conducted a thorough competition analysis, based on previous decision-making practice and market tests carried out with industry players. At the end of this analysis, it defined a market for the retail distribution of low and medium-priced decoration and bazaar products, including large specialized stores in decoration and bazaar products as well as personal and home equipment, clearance stores offering decoration and bazaar products, as well as large food stores and certain furniture brands.  </w:t>
        <w:br/>
        <w:t xml:space="preserve">In the course of the analysis, the Authority found that a limited number of players had online sales sites and that online sales of low and medium-priced decoration and bazaar products represented a small share of total sales of such products. Furthermore, the players interviewed during the investigation highlighted the impulsive nature of purchasing such products and the necessity for consumers to see them in-store. Consequently, while leaving open the precise delineation of this market, the Authority considered that online sales of low and medium-priced decoration and bazaar products could constitute a distinct market from in-store sales of these same products.  </w:t>
        <w:br/>
        <w:t xml:space="preserve">At the end of the competitive analysis conducted at the national and local levels, the Authority considered that the operation raised serious risks of harm to competition in several local catchment areas (Aubagne, Chambourcy, Le Puy-en-Velay, La Seyne-sur-Mer, and Thonon-les-Bains).  </w:t>
        <w:br/>
        <w:t xml:space="preserve">However, the Authority authorized the operation at the end of its first phase of examination, subject to structural commitments and the subscription of a behavioral commitment concerning another store. To address these competition concerns, GPG committed to sell to a competitor four points of sale (one Gifi store, two Tati stores, and one Giga Store) and not to distribute decoration and bazaar products within a Fabio Lucci store for a period of […] years, renewable once.  </w:t>
        <w:br/>
        <w:t xml:space="preserve">1 This summary is strictly informative. Only the reasons for the decision numbered below are authoritative.  </w:t>
        <w:br/>
        <w:t>2</w:t>
      </w:r>
    </w:p>
    <w:p>
      <w:r>
        <w:t xml:space="preserve">I. The companies concerned and the operation  </w:t>
        <w:br/>
        <w:t xml:space="preserve">1. Groupe Philippe Ginestet SARL (hereinafter, "GPG") is a limited liability company whose capital is held at […] % by Mr. Philippe Ginestet2. GPG holds […] % of the capital of the company GIFI SAS, the head of the GIFI group, the remainder of the capital of this company being held, directly and indirectly, at […] % by Mr. Philippe Ginestet and at […] % by Mr. Alexandre Ginestet. GPG, through the Gifi group, is active in the distribution of decoration and bazaar products. It operates 444 stores in France, of which 415 are owned3 and 29 are operated by third parties. It also engages, through the company Gifi Diffusion SAS, in purchasing, storage, and logistics activities for its stores. Aside from its participation in the Gifi group, Mr. Philippe Ginestet does not hold a controlling interest in other companies active in the distribution of decoration and bazaar products.  </w:t>
        <w:br/>
        <w:t xml:space="preserve">2. The companies Lilnat, Vetura, and Agora Distribution are active in the retail distribution of home and personal equipment products. The company Agora Distribution has a purchasing center and logistics platform activity, while the companies Lilnat and Vetura operate 121 business assets, of which 109 are owned under the Tati, Gigastore, and Fabio Lucci brands.  </w:t>
        <w:br/>
        <w:t xml:space="preserve">3. The notified operation consists of the acquisition by GPG:  </w:t>
        <w:br/>
        <w:t xml:space="preserve">- for the company Lilnat, of all intangible and tangible assets and lease rights of the 72 business assets operated in-house, all brands and stocks held, six commission-affiliation contracts4, two franchise contracts5, and the stakes held in the companies Tati Vendin and BCG, each operating a business asset in-house.  </w:t>
        <w:br/>
        <w:t xml:space="preserve">- for the company Vetura, of all intangible and tangible assets and lease rights of the 35 business assets operated in-house, all brands and stocks held;  </w:t>
        <w:br/>
        <w:t xml:space="preserve">- for the company Agora Distribution, of the three franchise contracts for the overseas departments and regions (DROM)6, various tangible and intangible elements related to the purchasing center activities and management services, as well as the stock held.  </w:t>
        <w:br/>
        <w:t xml:space="preserve">2 The […] % remaining is held by Mr. Alexandre Ginestet. Mr. Philippe Ginestet holds the usufruct of the shares of Mr. Alexandre Ginestet.  </w:t>
        <w:br/>
        <w:t xml:space="preserve">3 GPG owns the business assets, but these stores can be operated by third parties under a management mandate contract.  </w:t>
        <w:br/>
        <w:t xml:space="preserve">4 These are the five stores under the Tati brand in Montélimar (26), Sens (89), Soissons (02), Saint-Bonnet-de-Mure (69), and Tourlaville (50), as well as the planned store in Val d’Yerres (91).  </w:t>
        <w:br/>
        <w:t xml:space="preserve">5 These are the two Tati stores in La Valette-du-Var (83) and La Seyne-sur-Mer (83).  </w:t>
        <w:br/>
        <w:t xml:space="preserve">6 These are the Tati stores in Fort-de-France (972), Mamoudzou (976), Saint-Denis (974), and Saint-Louis (974).  </w:t>
        <w:br/>
        <w:t>3</w:t>
      </w:r>
    </w:p>
    <w:p>
      <w:r>
        <w:rPr>
          <w:b/>
        </w:rPr>
        <w:t>[Pages 4–6]</w:t>
      </w:r>
    </w:p>
    <w:p>
      <w:r>
        <w:t xml:space="preserve">5. Insofar as it results in the exclusive control of the companies Lilnat, Vetura, and Agora Distribution by GPG, the notified operation constitutes a concentration operation within the meaning of Article L. 430-1 of the Commercial Code.  </w:t>
        <w:br/>
        <w:t xml:space="preserve">6. The companies concerned together achieve a total turnover excluding taxes on a global scale of more than 75 million euros (Mr. Philippe Ginestet: […] euros for the fiscal year ending December 31, 2016; target assets: […] euros for the same fiscal year). Each of these companies has achieved a turnover in France exceeding 15 million euros (Mr. Philippe Ginestet: […] euros for the fiscal year ending December 31, 2016; target assets: […] euros for the same fiscal year). Given these turnover figures, the operation does not fall under the jurisdiction of the European Union. On the other hand, the control thresholds related to retail trade mentioned in II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A. PRODUCT MARKETS  </w:t>
        <w:br/>
        <w:t xml:space="preserve">7. GPG operates, through the company Gifi SAS, retail outlets under the Gifi brand specializing in the retail distribution of decoration and bazaar products. The stores operating under the Tati, Gigastore, and Fabio Lucci brands are points of sale where the majority of the activity is dedicated to the sale of personal equipment. However, the Tati and Gigastore stores dedicate a significant share (approximately 35%) of their activity to decoration and bazaar products. The parties are therefore simultaneously active in the retail distribution sector of decoration and bazaar items.  </w:t>
        <w:br/>
        <w:t xml:space="preserve">8. In the retail sector, competition authorities generally recognize two categories of markets: (i) upstream supply markets, which connect suppliers and retail businesses, and (ii) downstream distribution markets, which connect retail businesses and final consumers.  </w:t>
        <w:br/>
        <w:t xml:space="preserve">1. UPSTREAM SUPPLY MARKET FOR BAZAAR AND DECORATION PRODUCTS  </w:t>
        <w:br/>
        <w:t xml:space="preserve">9. National decision-making practice has recognized distinct supply markets for (i) furniture, (ii) bazaar-decoration products, (iii) small household appliances, (iv) large household appliances, (v) cameras and cinema equipment, (vi) Hi-fi and sound equipment, (vii) TV and video equipment, and (viii) computers and peripherals7.  </w:t>
        <w:br/>
        <w:t xml:space="preserve">10. There is no reason to challenge this delimitation in the context of the present operation.  </w:t>
        <w:br/>
        <w:t xml:space="preserve">11. In this case, the parties to the operation are both active, as buyers, in the market for the supply of decoration and bazaar products.  </w:t>
        <w:br/>
        <w:t xml:space="preserve">2. RETAIL DISTRIBUTION MARKETS FOR DECORATION AND BAZAAR PRODUCTS  </w:t>
        <w:br/>
        <w:t xml:space="preserve">12. As the Competition Authority has recalled, "the type of products sold is one of the most important criteria for delimiting markets in the retail trade"8.  </w:t>
        <w:br/>
        <w:t xml:space="preserve">13. National decision-making practice has recognized the existence of a market for the distribution of decoration and bazaar products, which includes all decoration and home improvement products, excluding "furnishing" furniture and household appliances9.  </w:t>
        <w:br/>
        <w:t xml:space="preserve">14. The investigation confirmed the relevance of such a definition, as many operators offer both decoration and bazaar items, these products covering a common need for home equipment and bazaar products increasingly being presented as decoration products.  </w:t>
        <w:br/>
        <w:t xml:space="preserve">a) Segmentation by price  </w:t>
        <w:br/>
        <w:t xml:space="preserve">15. Decision-making practice has also recognized the existence of a market for the distribution of low-priced items that can be segmented by product categories: (i) ready-to-wear, (ii) home, (iii) beauty and care, (iv) food, and (v) toys and leisure10. It is therefore necessary to consider the relevance of segmenting the retail distribution market for decoration and bazaar products by price.  </w:t>
        <w:br/>
        <w:t xml:space="preserve">16. The trademark usage contracts specify that Gifi is "the French leader in non-food distribution at first price," while the franchise contracts of Tati emphasize that "the Tati brand benefits from a well-known brand image in the field of low-priced personal and home equipment"11.  </w:t>
        <w:br/>
        <w:t xml:space="preserve">17. The average price of decoration and bazaar products sold by Gifi is […] euros, while the average price reaches […] euros for the three brands owned by the target companies. Furthermore, more than half of the references offered by the parties are sold at a price below 10 euros12. It emerges from the investigation that this is also the case for brands that have a similar activity to that of the parties.  </w:t>
        <w:br/>
        <w:t xml:space="preserve">18. The relevance of price segmentation has been highlighted by various respondents to the market test specialized in the distribution of decoration and bazaar items. They believe that their activity is closely linked to a low pricing strategy. Centrakor thus specified that "in the decoration-bazaar market, price positioning constitutes a differentiation criterion, both from the supply perspective and from the demand perspective."  </w:t>
        <w:br/>
        <w:t xml:space="preserve">19. The majority of respondents to the market test also indicated that the price positioning criterion was the primary element to consider in determining whether a brand was in competition with the parties.  </w:t>
        <w:br/>
        <w:t xml:space="preserve">20. However, it also emerges from the market test that brands specialized in the retail distribution of low-priced items also offer references at higher prices, falling within the mid-range. These brands indeed have a substantial share of their decoration and bazaar product range positioned at a price between 10 and 20 euros (generally between 10% and 20%), while products priced above 20 euros constitute only a very limited part of their offer (generally less than 10%). This is also the case for the parties' brands. The notifying party has indicated that the Gifi brand is currently repositioning itself towards an offer focused on higher quality and mid-range products.  </w:t>
        <w:br/>
        <w:t xml:space="preserve">21. Thus, brands offering a significant range of decoration and bazaar products at average prices, that is to say those offering at least two-thirds of their references at less than 20 € but less than half of their references at less than 10 €, exert a certain competitive pressure on brands specialized in the retail distribution of low-priced items, which, as mentioned above, also offer a mid-priced range.  </w:t>
        <w:br/>
        <w:t xml:space="preserve">22. This is not the case, however, for brands offering high-end decoration and bazaar products sold at high prices. These brands generally rely on a well-known brand (Geneviève Lethu for tableware, Brabantia for bazaar items, as well as Carré Blanc or Linvosges for household linen, for example), unlike most products offered in brands specialized in the distribution of decoration and bazaar products, which are sold without a brand or under the brand of the concerned distribution brand.  </w:t>
        <w:br/>
        <w:t xml:space="preserve">23. Conversely, some brands offer decoration and bazaar products under their own brand, but at significantly higher prices than specialized low and mid-priced brands (The Conran Shop, Habitat, for example). The offer of low and mid-priced decoration and bazaar products that such brands have is too limited to exert competitive pressure on the parties.  </w:t>
        <w:br/>
        <w:t xml:space="preserve">24. In this case, it is therefore appropriate to retain a market for the retail distribution of low and mid-priced decoration and bazaar products.  </w:t>
        <w:br/>
        <w:t xml:space="preserve">b) Segmentation by distribution channel  </w:t>
        <w:br/>
        <w:t>25. In terms of retail distribution, decision-making practice generally establishes a distinction according to distribution channels, notably between large specialized stores ("GSS") and large food stores ("GSA"). The Authority has thus noted that "the format and size of the store are also important criteria for delimiting markets in that, in particular, they determine the ability of the store in question to market a greater or lesser number of products or to offer certain ancillary services (parking, etc.). Large specialized stores (GSS) are thus distinguished from large food stores (GSA) and local commerce.</w:t>
      </w:r>
    </w:p>
    <w:p>
      <w:r>
        <w:rPr>
          <w:b/>
        </w:rPr>
        <w:t>[Pages 7–9]</w:t>
      </w:r>
    </w:p>
    <w:p>
      <w:r>
        <w:t xml:space="preserve">specialized stores indeed offer a wider range of products and assortments as well as consumer reception and advice services.”  </w:t>
        <w:br/>
        <w:t xml:space="preserve">26. In this case, decoration and bazaar products are offered through these two distribution channels as well as by clearance stores.  </w:t>
        <w:br/>
        <w:t xml:space="preserve">27. Furthermore, decision-making practice generally distinguishes physical sales outlets from online sales.  </w:t>
        <w:br/>
        <w:t xml:space="preserve">Segmentation by physical distribution channels  </w:t>
        <w:br/>
        <w:t xml:space="preserve">28. The notifying party considers that the market for the distribution of decoration and bazaar products encompasses different types of specialized large-scale retailers (GSS), clearance stores, as well as large-scale retailers (GSA).  </w:t>
        <w:br/>
        <w:t xml:space="preserve">GSS in decoration and bazaar products and GSS in personal and home equipment  </w:t>
        <w:br/>
        <w:t xml:space="preserve">29. The Gifi stores, as well as brands such as la Foir’Fouille, Centrakor, Hema, Bazarland, or Action, are GSS in decoration and bazaar products. These brands indeed generate more than half of their revenue from this type of product.  </w:t>
        <w:br/>
        <w:t xml:space="preserve">30. The target companies own the brands Tati, Fabio Lucci, and Gigastore. While these sales outlets generate the majority of their revenue from the sale of personal equipment products, they also sell decoration and bazaar products, accounting for 35% of their revenue. The Eurodif and Babou groups also have this dual activity. These brands will be referred to as GSS in personal and home equipment.  </w:t>
        <w:br/>
        <w:t xml:space="preserve">31. The investigation has shown that GSS in decoration and bazaar products and GSS in personal and home equipment have ranges of decoration and bazaar products and a pricing position for these products similar to those of the parties. They generally offer more than 10,000 references of decoration and bazaar products, of which more than half are sold at a price below 10 euros. The frequency of visits to these stores is generally between ten times a year and several times a month, which is close to the frequency of visits to the parties' stores ([…] times a year). Furthermore, these stores have a relatively high frequency and turnover rate of their decoration and bazaar product range (renewal several times a year potentially affecting up to the entirety of the products).  </w:t>
        <w:br/>
        <w:t xml:space="preserve">32. Almost all respondents to the market test indicated that the activities of the target brands and Gifi overlapped and that the activity of GSS in decoration and bazaar products was competed against by that of GSS in personal and home equipment. Vima, a GSS in decoration and bazaar products, thus indicated that GSS in home and personal equipment “indeed allocate a significant portion of their retail space to decoration/bazaar products. They often offer a similar depth of range to GSS [in decoration and bazaar products] in certain, if not all, common aisles. The prices charged by these brands are sometimes very aggressive, and these brands thus directly compete with GSS [in decoration and bazaar products]. The main suppliers of these brands are also often the same as those of the [GSS in decoration and bazaar products].” Babou thus estimated, in its response to the market test, that it was in competition with both GSS in decoration and bazaar products and GSS in personal and home equipment as well as with clearance stores.  </w:t>
        <w:br/>
        <w:t xml:space="preserve">13See the opinion of the Competition Council No. 07-A-06 of July 16, 2007 cited above.  </w:t>
        <w:br/>
        <w:t xml:space="preserve">33. Furthermore, in recent years, GSS in personal and home equipment have also redeployed part of their activity towards decoration and bazaar, given the difficulties encountered in the personal equipment sector. La Foir’Fouille thus specified that “for several years, the brands [in personal and home equipment] have tended to significantly develop their activities related to the distribution of decoration-bazaar products for home equipment at the expense of their activities related to the distribution of textile and clothing products for personal equipment, which are under very strong competitive pressure from low-cost clothing brands. As a result, the retail space dedicated to the distribution of textile products and personal equipment is also significantly reduced within GSS [in personal and home equipment].”  </w:t>
        <w:br/>
        <w:t xml:space="preserve">Clearance stores offering decoration and bazaar products  </w:t>
        <w:br/>
        <w:t xml:space="preserve">34. Decoration and bazaar products are also offered by clearance brands, such as Stokomani, Noz, and Maxxilot. These brands purchase unsold products from professionals. Regarding decoration and bazaar products, they can also source directly from suppliers. Stokomani has thus specified that it builds “its offer in low-cost home equipment both with brand lots at discounted prices and private labels or own brands also positioned at low prices,” which allows them to have a permanent offer of decoration and bazaar products.  </w:t>
        <w:br/>
        <w:t xml:space="preserve">35. Clearance stores offering decoration and bazaar products (hereinafter “clearance stores”) position themselves in a “low price” segment. However, as previously indicated, a substantial part of the offer from GSS in decoration and bazaar products and in personal and home equipment also has such a pricing position. Maxxilot, another clearance store, thus estimated that its positioning was similar to that of the parties' brands, while Babou specified that it also considered itself to be in competition with clearance stores.  </w:t>
        <w:br/>
        <w:t xml:space="preserve">36. The majority of respondents to the market test thus indicated that clearance stores were in competition with decoration and bazaar brands, with the entry key into the low and medium-priced decoration and bazaar products distribution sector remaining the positioning on low prices. Some respondents conversely estimated that clearance stores could not be considered competitors of GSS in decoration and bazaar products, as their offer essentially consisted of clearing lots and was not followed. However, on the one hand, GSS in decoration and bazaar products also have an activity characterized by a very high turnover of their stock and a strong renewal of their range. On the other hand, clearance stores have store formats and layouts similar to those of brands such as those of the parties and are generally located, like GSS in decoration and bazaar products, on the outskirts of cities. Furthermore, as previously indicated, some clearance stores do not merely clear unsold items but directly purchase products from suppliers.  </w:t>
        <w:br/>
        <w:t xml:space="preserve">37. It should therefore be considered that in this case the market encompasses at least GSS in decoration and bazaar products, GSS in personal and home equipment, and clearance brands offering decoration and bazaar items.  </w:t>
        <w:br/>
        <w:t xml:space="preserve">Large furniture stores  </w:t>
        <w:br/>
        <w:t xml:space="preserve">38. The notifying party considers that it is appropriate to include in the relevant market several large furniture stores that dedicate a significant portion of their retail space to decoration and bazaar products. It cites Alinéa, Fly, Habitat, Ikea, Interior’s, and Maisons du Monde as competitors. It specifies that the stores operated under these brands dedicate approximately 40% of their retail space to bazaar and decoration products, with the exception of stores under the Fly brand, which dedicate on average 20% of their retail space to such products.  </w:t>
        <w:br/>
        <w:t xml:space="preserve">39. The brands cited by the notifying party indeed dedicate a significant part of their activity to the sale of decoration products. However, the offer of some of the brands cited by the notifying party (Maisons du Monde, Interior’s, and Habitat) is very limited in the bazaar segment. Furthermore, the prices of decoration and bazaar products as well as the range offered vary greatly depending on the brand considered.  </w:t>
        <w:br/>
        <w:t xml:space="preserve">40. Thus, respondents to the market test rarely cited Habitat and Interior’s as competing furniture brands with the parties, and these brands themselves highlight, in their responses, their different commercial positioning compared to the acquirer.  </w:t>
        <w:br/>
        <w:t xml:space="preserve">41. The furniture brands estimated that their main competitors in decoration and bazaar products were varied in nature, primarily citing other furniture brands but also DIY brands, household appliance brands, and GSS in decoration and bazaar products as well as in personal and home equipment.  </w:t>
        <w:br/>
        <w:t xml:space="preserve">42. Furthermore, responses to the market test are quite divided on the inclusion of furniture GSS in the relevant market. A slight majority of all respondents believe that they should be included. However, among the respondents operating GSS in decoration and bazaar products and in personal and home equipment, brands that are direct competitors of those of the parties, most respondents believe that furniture brands should not be included in the relevant market as they do not meet the same customer expectations, which primarily relate to a need for furniture items. Indeed, the frequency of visits to these stores (about 2 to 4 times a year) is much lower than that of visits to brands similar to those of the parties. The frequency and turnover rate of their decoration and bazaar product range is also lower than those of brands similar to those of the parties.  </w:t>
        <w:br/>
        <w:t xml:space="preserve">43. Furthermore, several respondents to the market test also highlighted the higher price positioning of furniture brands in the decoration and bazaar product distribution segment. The investigation has shown that the average price of decoration and bazaar products offered by these brands is, for the most part, above 10 euros, even though it varies significantly from one brand to another.  </w:t>
        <w:br/>
        <w:t xml:space="preserve">44. Moreover, the ancillary nature of the decoration and bazaar offer of furniture brands has been emphasized by some respondents. Thus, Cora emphasizes that “the activity of decoration and bazaar of furniture brands is rather a complementary and ancillary offer with a price positioning that is a priori higher than Gifi and a different target implying a much higher average basket.”  </w:t>
        <w:br/>
        <w:t xml:space="preserve">45. Thus, the Authority considers that only furniture brands that have both a decoration and bazaar offer, and are positioned on low and medium prices, can be retained14. However, the competitive analysis must take into account the fact that the competitive pressure exerted by these brands on the parties is lower, as decoration and bazaar products do not constitute the main reason for visiting these brands and, in this respect, constitute a complementary offer to their furniture offer.  </w:t>
        <w:br/>
        <w:t>14 The furniture brands retained in the competitive analysis are specified in paragraph 159 of this decision.</w:t>
      </w:r>
    </w:p>
    <w:p>
      <w:r>
        <w:rPr>
          <w:b/>
        </w:rPr>
        <w:t>[Pages 10–12]</w:t>
      </w:r>
    </w:p>
    <w:p>
      <w:r>
        <w:t xml:space="preserve">L’inclusion des GSA  </w:t>
        <w:br/>
        <w:t xml:space="preserve">46. The notifying party proposes to include hypermarkets in the relevant market, insofar as they have a significant offering of decoration and bazaar products.  </w:t>
        <w:br/>
        <w:t xml:space="preserve">47. Hypermarkets have a range of decoration and bazaar products that can vary significantly depending on the size of the hypermarket and the brand considered, but the prices charged are of the same order as those of large-scale retailers (GSS) in decoration and bazaar products. A very large majority of respondents thus estimated that hypermarkets should be included in the relevant market. However, they dedicate on average 5% of their total surface area to decoration and bazaar products, which is a smaller area than stores with the same activity as those of the parties, thus offering a more limited choice. They cannot therefore be considered perfect substitutes for the parties.  </w:t>
        <w:br/>
        <w:t xml:space="preserve">Les enseignes de produits électrodomestiques  </w:t>
        <w:br/>
        <w:t xml:space="preserve">48. The notifying party argues that brands of household appliances such as But and Conforama dedicate at least 10% of their sales areas to decoration and bazaar products and that they should therefore be included in the market.  </w:t>
        <w:br/>
        <w:t xml:space="preserve">49. However, the majority of respondents to the market test believe that household appliance brands are not in competition with GSS in decoration and bazaar products.  </w:t>
        <w:br/>
        <w:t xml:space="preserve">50. These brands indeed have a limited range of decoration and bazaar products (approximately 2,500 references) which is significantly lower than that of the main brands of the parties (over 10,000 references).  </w:t>
        <w:br/>
        <w:t xml:space="preserve">51. Furthermore, the average price of decoration and bazaar items offered by these brands is above 10 euros, whereas it ranges between 2 and 10 euros for GSS in decoration and bazaar products and personal and home equipment surveyed in the context of the market test. But indicated that in household appliance stores, "purchases of decoration-bazaar are complementary to the main reason for visiting the store."  </w:t>
        <w:br/>
        <w:t xml:space="preserve">52. It also emerges from the responses of But and Conforama that the average basket amount during a visit to one of these stores is over 150 euros, whereas it ranges between 10 and 30 euros in GSS for decoration and bazaar products and personal and home equipment. Moreover, the frequency of visits to But and Conforama stores is about twice a year, which is significantly lower than the frequency of visits to the parties' stores (between 4 and 6 times a year). Finally, these brands stated that their two main competitors in decoration and bazaar products were furniture and household appliance brands, not GSS in decoration and bazaar products or personal and home equipment.  </w:t>
        <w:br/>
        <w:t xml:space="preserve">Les grandes surfaces de bricolage (GSB)  </w:t>
        <w:br/>
        <w:t xml:space="preserve">53. The notifying party indicated that it is appropriate to include GSB in the relevant market, given the growing importance of these brands in the market. However, the share represented by decoration and bazaar items in such brands remains limited. Indeed, in 2016, Unibal (National Union of DIY, Gardening and Home Improvement Industries) and FMB (Federation of DIY and Home Improvement Stores) indicated that decoration items, excluding paint and wallpaper, accounted for about 7% of the turnover of GSB15. Furthermore, the Xerfi study on the distribution of furniture and decoration items16 indicates that the offering of decoration and furniture products from GSB is primarily focused on "furnishing" furniture and lighting.  </w:t>
        <w:br/>
        <w:t xml:space="preserve">54. Moreover, the majority of respondents to the market test believed that GSB did not fall within the considered market. Several respondents highlighted the limited assortment of decoration and bazaar products offered by these brands.  </w:t>
        <w:br/>
        <w:t xml:space="preserve">Les jardineries  </w:t>
        <w:br/>
        <w:t xml:space="preserve">55. The notifying party indicated that garden centers generate a substantial share of their turnover from the sale of decoration and garden improvement products and that they should therefore be included in the relevant market.  </w:t>
        <w:br/>
        <w:t xml:space="preserve">56. However, the garden center brands that responded to the market test indicated turnover shares dedicated to decoration and bazaar that were significantly lower than the figures put forward by the notifying party. These elements are confirmed by a study from Promojardin17 which indicates that decoration represents 7% of the turnover of the amateur gardening market18.  </w:t>
        <w:br/>
        <w:t xml:space="preserve">57. Furthermore, all the garden center brands surveyed indicated that their pricing position was higher than that of the parties and specified that their main competitors in decoration and bazaar products were primarily other garden centers.  </w:t>
        <w:br/>
        <w:t xml:space="preserve">58. Finally, several respondents indicated that the offering of decoration and bazaar products from these brands was characterized by strong seasonality, with significant peaks during the Christmas, Easter, and summer periods for garden improvements.  </w:t>
        <w:br/>
        <w:t xml:space="preserve">Conclusion sur les canaux de distribution retenus  </w:t>
        <w:br/>
        <w:t xml:space="preserve">59. Thus, the distribution of low and medium-priced decoration and bazaar products in stores includes GSS in decoration and bazaar products as well as personal and home equipment, clearance stores, as well as GSA and furniture brands positioned on low and medium prices for decoration and bazaar products that offer both decoration and bazaar. However, regarding these last two types of brands, the competitive analysis will take into account their imperfect substitutability with brands of the same type as those of the parties. Indeed, the purchase of decoration and bazaar products is generally not the main reason for visiting these brands, as these products constitute complementary purchases.  </w:t>
        <w:br/>
        <w:t xml:space="preserve">Segmentation entre les ventes en magasin et les ventes en ligne  </w:t>
        <w:br/>
        <w:t xml:space="preserve">60. The notifying party considers that "given the importance of distance selling, [...] it is appropriate to take this into account in the event that it would be likely to modify the conclusions of the competitive analysis."  </w:t>
        <w:br/>
        <w:t xml:space="preserve">61. The parties indeed offer decoration and bazaar items within their stores and also through their online sales site. However, this online sales activity represents a very small share of the turnover of the acquirer and the target (respectively less than [0-5]% and [0-5]%).  </w:t>
        <w:br/>
        <w:t xml:space="preserve">62. In its decision of July 18, 2016, regarding the acquisition of the Darty group by the Fnac group, the Authority defined for the first time a market for the retail distribution of brown and gray electronic products that integrates both in-store sales and distance sales. It noted that the development of online sales had been accompanied by a significant reduction in the previously noted differences between online and in-store sales and that traditional brands had adapted their internal pricing and commercial strategies by developing their own online sales sites. It also emphasized that consumers had significantly integrated online sales into their purchasing behavior for the products concerned, both in terms of comparing offers upstream and for the act of purchase itself. Before this decision, the Authority had never considered in its decisions regarding the retail sale of non-food products that in-store and online sales belonged to the same market.  </w:t>
        <w:br/>
        <w:t xml:space="preserve">63. Decoration and bazaar items are very different from household appliances, which are high-priced items that are subject to thoughtful purchases.  </w:t>
        <w:br/>
        <w:t xml:space="preserve">64. First, decoration and bazaar items are characterized by a relatively low purchase price, with the average basket in a Gifi group store amounting to […] euros. The low amount of purchases of decoration and bazaar products makes shipping costs particularly significant in relation to the total amount of purchases. The Eurodif group thus indicated that "given a low average selling price, the cost of shipping is often too high."  </w:t>
        <w:br/>
        <w:t xml:space="preserve">65. Most operators active as GSS in decoration and bazaar products or as GSS in personal and home equipment do not have an online sales site. Some of them had one but gave it up due to the low profitability of online sales. One respondent to the market test explained that there are "few online sales sites for discount products because the shipping cost exceeds the value of the item." One of the competing operators specified that it "is no longer active in the online sale of low-priced decoration-bazaar items. Although an e-commerce site was opened [...], it quickly became apparent that online sales of discount decoration-bazaar products are not a suitable sales format given the significant costs incurred by such activity and [the] disproportion of the transport cost with the average basket." The relatively low price level of decoration and bazaar items thus limits the profitability of an online sales activity, which constrains its development.  </w:t>
        <w:br/>
        <w:t xml:space="preserve">66. Furthermore, due to their low prices, decoration and bazaar items are often subject to impulse purchases. In its response to the market test, Foir’Fouille indicated that "the purchase of discount decoration-bazaar products in-store is largely motivated by an impulse purchase," a position shared by the Action group which stated that "in this low-priced decoration/bazaar market, impulse buying represents a predominant part of the economic model. The tactile experience and in vivo appreciation make a significant difference compared to online purchasing." A strong majority of respondents to the market test (about 80%) also believed that customers were not indifferent to whether they bought their decoration and bazaar products online or in-store.  </w:t>
        <w:br/>
        <w:t>67. Moreover, low and medium-priced decoration and bazaar items are generally sold without a brand. The absence of a brand can create doubt about the quality of the product.</w:t>
      </w:r>
    </w:p>
    <w:p>
      <w:r>
        <w:rPr>
          <w:b/>
        </w:rPr>
        <w:t>[Pages 13–15]</w:t>
      </w:r>
    </w:p>
    <w:p>
      <w:r>
        <w:t xml:space="preserve">consumers were not indifferent to the fact of buying their decoration and bazaar products online or in-store.  </w:t>
        <w:br/>
        <w:t xml:space="preserve">67. Furthermore, low and medium-priced decoration and bazaar items are generally sold without a brand. The absence of a brand can create doubt about the quality of the product. Consequently, the consumer may prefer to see the product to ensure its quality. One respondent thus emphasized the "necessity to see and touch the product" because "due to the discount prices, the customer is skeptical [about] the quality, [therefore they] need to go to the store."  </w:t>
        <w:br/>
        <w:t xml:space="preserve">68. In conclusion, given the very small share represented by online sales of decoration and bazaar products, the necessity for the consumer to see the product, and the impulsive nature of the purchase of such products, it can be considered that the online sale of low and medium-priced decoration and bazaar products constitutes a distinct market from the in-store sale of low and medium-priced decoration and bazaar products. However, in this case, the question of segmentation between online sales and in-store sales can be left open, as regardless of the hypothesis retained, the conclusions of the competitive analysis will remain unchanged. Indeed, taking online sales into account would not alter the conclusions of the competitive analysis, given the very small share they represent of total sales of decoration and bazaar products.  </w:t>
        <w:br/>
        <w:t xml:space="preserve">Conclusion on the relevant markets related to the retail distribution of decoration and bazaar items  </w:t>
        <w:br/>
        <w:t xml:space="preserve">69. The competitive analysis will be conducted on a market for the online sale of low and medium-priced decoration and bazaar items as well as on a market for the in-store distribution of low and medium-priced decoration and bazaar items including large-scale retailers (GSS) in decoration and bazaar products as well as personal and home equipment, clearance stores, and large-scale retailers (GSA) and certain furniture brands.  </w:t>
        <w:br/>
        <w:t xml:space="preserve">B. GEOGRAPHICAL MARKETS  </w:t>
        <w:br/>
        <w:t xml:space="preserve">1. THE UPSTREAM MARKET FOR THE SUPPLY OF BAZAAR AND DECORATION PRODUCTS  </w:t>
        <w:br/>
        <w:t xml:space="preserve">70. Regarding supply markets, the decision-making practice of competition authorities has so far retained at least a national, if not European, dimension.  </w:t>
        <w:br/>
        <w:t xml:space="preserve">71. According to the notifying party, the market for the supply of decoration and bazaar products would be of a global dimension. It emphasizes that more than half of the supply of Gifi Diffusion SAS, the purchasing center of the Gifi group which supplies more than [greater than 50]% of the products distributed in Gifi stores, comes from its subsidiary Gifi Asia, located in Hong Kong.  </w:t>
        <w:br/>
        <w:t xml:space="preserve">72. The vast majority of respondents to the market test expressed support for a European or even global dimension of the supply market for decoration and bazaar products. Respondents also highlighted the importance of Asian suppliers in the retail market for decoration and bazaar products.  </w:t>
        <w:br/>
        <w:t xml:space="preserve">73. In any case, the question of the exact geographical delimitation of these markets can be left open as, regardless of the delimitation retained, the conclusions of the competitive analysis remain unchanged. The competitive analysis will thus be conducted considering the purchasing shares of the parties at the national, European, and global levels.  </w:t>
        <w:br/>
        <w:t xml:space="preserve">2. RETAIL DISTRIBUTION MARKETS FOR DECORATION AND BAZAAR PRODUCTS  </w:t>
        <w:br/>
        <w:t xml:space="preserve">a) The online sales market for decoration and bazaar products  </w:t>
        <w:br/>
        <w:t xml:space="preserve">74. Regarding the online distribution of non-food products, national and European decision-making practice has adopted a national delineation, considering linguistic differences, the heterogeneity of consumer habits, as well as delivery costs and times19.  </w:t>
        <w:br/>
        <w:t xml:space="preserve">75. The analysis will therefore be conducted on the national market for online sales of decoration and bazaar products.  </w:t>
        <w:br/>
        <w:t xml:space="preserve">b) The in-store distribution market for low and medium-priced decoration and bazaar products  </w:t>
        <w:br/>
        <w:t xml:space="preserve">Local analysis  </w:t>
        <w:br/>
        <w:t xml:space="preserve">76. In the retail sector at physical sales outlets, competition is exercised, from the consumer's perspective, primarily at the local level, in markets whose size varies depending on the type of products concerned and the attractiveness of the stores.  </w:t>
        <w:br/>
        <w:t xml:space="preserve">77. Regarding the distribution of decoration and bazaar products, the Competition Authority has considered that consumers are willing to make a car trip lasting 20 to 45 minutes to reach a store and compare products and prices from one brand to another20.  </w:t>
        <w:br/>
        <w:t xml:space="preserve">78. The size of catchment areas may vary depending on their location. Thus, in the decision regarding the acquisition of Darty by the Fnac group21, the Competition Authority retained specific catchment area sizes according to the location of the stores. It emerges from the market test that a distinction should be made between stores located in Paris and those located in metropolitan France outside of Paris. Since the activities of the parties also overlap in various overseas departments and regions (DROM), it is also necessary to analyze the situation of the parties in these regions specifically.  </w:t>
        <w:br/>
        <w:t xml:space="preserve">Metropolitan France (outside of inner Paris)  </w:t>
        <w:br/>
        <w:t xml:space="preserve">79. The notifying party estimates that, for the purchase of decoration products, the consumer is willing to make a car trip lasting a maximum of 20 minutes for stores located in the Paris region and in the largest provincial cities, and a car trip lasting a maximum of 30 minutes for stores located in the provinces outside of the large cities.  </w:t>
        <w:br/>
        <w:t xml:space="preserve">80. A catchment area of 20 minutes around the points of sale of decoration and bazaar products is the option favored by respondents to the market test, regarding metropolitan France outside of inner Paris.  </w:t>
        <w:br/>
        <w:t xml:space="preserve">81. Therefore, in the provinces, the effects of the operation will be examined over a catchment area of 20 minutes around the buyer's stores.  </w:t>
        <w:br/>
        <w:t xml:space="preserve">19 See in particular the decision of the European Commission M. 5721 Otto/Primondo Assets of February 16, 2010; the decision of the Authority No. 09-DCC-26 of July 24, 2009 regarding the acquisition of the company Camif Collectivités by the company Manutan International.  </w:t>
        <w:br/>
        <w:t xml:space="preserve">20 See the letter from the Minister of Economy C2006-155 and the opinion of the Competition Council 07-A-06 mentioned above; the decisions of the Authority decision No. 14-DCC-39, No. 15-DCC-28, and 16-DCC-139 mentioned above.  </w:t>
        <w:br/>
        <w:t xml:space="preserve">21 Decision No. 16-DCC-111 of July 27, 2016 regarding the exclusive control of Darty by Fnac.  </w:t>
        <w:br/>
        <w:t xml:space="preserve">82. Given the significant variations in population density in metropolitan France, outside of inner Paris, the size of catchment areas is, however, likely to differ depending on the location of the sales point considered. The actual behavior of consumers in a given area can be specified with the data collected by the sales points on the actual location of their customers22. It is generally considered that the catchment area of a sales point can be limited to that which includes customers representing 80% of the sales revenue of the sales point or 80% of the customers of the sales point, depending on the available data. The remainder is considered as occasional and insignificant clientele, sometimes very far from the sales point. The notifying party indicated that only Gifi sales points collected data allowing for the establishment of the location of their buyers.  </w:t>
        <w:br/>
        <w:t xml:space="preserve">Inner Paris  </w:t>
        <w:br/>
        <w:t xml:space="preserve">83. The notifying party estimates that a catchment area with a radius of 2 kilometers can be retained in this case for inner Paris, as customers walk to the stores to make essentially impulsive purchases. It specifies that decoration and bazaar products are "most often of low amounts" and that consequently, consumers are not willing to make long trips to procure them23.  </w:t>
        <w:br/>
        <w:t xml:space="preserve">84. Responses to the market test confirm the limited dimension of the catchment areas of stores located in Paris.  </w:t>
        <w:br/>
        <w:t xml:space="preserve">85. Regarding inner Paris, decision-making practice generally considers catchment areas corresponding to walking distances, given the low car ownership rate among Parisian consumers24. Only 36.8% of households had at least one car in 2014 compared to 81.1% in metropolitan France25 and only 10% of trips made by residents of the Île-de-France during the week are made by car26.  </w:t>
        <w:br/>
        <w:t xml:space="preserve">86. Decision-making practice has thus retained areas of 3 kilometers for the retail markets of household appliances and areas of 300 to 500 meters for food-dominant retail27.  </w:t>
        <w:br/>
        <w:t xml:space="preserve">87. Since decoration and bazaar products represent significantly lower expenditures than household appliances and GSS in decoration and bazaar products do not offer, unlike these brands, delivery services, it can be concluded that the catchment areas for the distribution of low and medium-priced decoration and bazaar products have a dimension of less than 3 kilometers. Furthermore, since the density of stores offering decoration and bazaar products is lower than that of food-dominant stores, it can be concluded that their catchment area has a dimension greater than 500 meters.  </w:t>
        <w:br/>
        <w:t xml:space="preserve">22 Decisions No. 13-DCC-96 and No. 15-DCC-29 mentioned above.  </w:t>
        <w:br/>
        <w:t xml:space="preserve">23 The notifying party specified that it did not have data allowing for the definition of the actual footprints of the only Gifi sales point located in inner Paris.  </w:t>
        <w:br/>
        <w:t xml:space="preserve">24 See in particular decisions No. 13-DCC-90 of July 11, 2013 regarding the exclusive control of the company Monoprix by the company Casino Guichard-Perrachon; No. 14-DCC-173 of November 21, 2014 regarding the exclusive control of the company Dia France SAS by the company Carrefour France SAS; No. 14-DCC-196 of December 24, 2014 regarding the joint control of a food-dominant retail store by the company Blanc Mesnil Distribution alongside the Association of E.Leclerc Distributor Centers and No. 15-DCC-170 of December 10, 2015 regarding the exclusive control of the company Financière Quick by the company Burger King France.  </w:t>
        <w:br/>
        <w:t xml:space="preserve">25 The second metropolitan department with the lowest equipment rate is Seine-Saint-Denis with 62.3% of households having at least one vehicle (Car ownership of households in 2014 – Insee June 2017).  </w:t>
        <w:br/>
        <w:t xml:space="preserve">26 The report on trips in 2015 in Paris – Observatory of trips of the Paris city hall.  </w:t>
        <w:br/>
        <w:t>27 See in particular 13-DCC-90 and 16-DCC-139 mentioned above.</w:t>
      </w:r>
    </w:p>
    <w:p>
      <w:r>
        <w:rPr>
          <w:b/>
        </w:rPr>
        <w:t>[Pages 16–18]</w:t>
      </w:r>
    </w:p>
    <w:p>
      <w:r>
        <w:t xml:space="preserve">88. For the purposes of this analysis, the competitive analysis will therefore be conducted on catchment areas of 1 and 2 kilometers around the Gifi sales outlets located in Paris intra-muros.  </w:t>
        <w:br/>
        <w:t xml:space="preserve">Departments and overseas regions (DROM)  </w:t>
        <w:br/>
        <w:t xml:space="preserve">89. Regarding the retail distribution of decoration and bazaar items in the DROM, previous decision-making practice has considered catchment areas of 20 to 45 minutes of driving time around the sales outlets28. The notifying party indicated that it did not have data to define the actual footprints29 of the Gifi sales outlets located in the DROM.  </w:t>
        <w:br/>
        <w:t xml:space="preserve">90. In any case, the question of the exact delimitation of the geographic market in the DROM can be left open insofar as the conclusions of the competitive analysis remain unchanged, regardless of the delimitation adopted. The competitive analysis will thus be conducted on catchment areas of 20, 30, and 45 minutes.  </w:t>
        <w:br/>
        <w:t xml:space="preserve">National analysis  </w:t>
        <w:br/>
        <w:t xml:space="preserve">91. The Competition Authority30 and the Commission31 have noted, in various decisions concerning the distribution sector, that several elements of the competitive analysis can be examined in a broader context than the local level. Indeed, significant parameters of competition can be assessed at the national level, particularly when prices are largely determined at this level by network heads, leaving little pricing flexibility for store managers. Similarly, certain non-price strategic decisions can be centralized, such as the structure of assortments, after-sales services, quality controls, advertising campaigns, customer loyalty policies (for example, through loyalty cards), promotional actions, or the launch of new products, as well as the store location policy.  </w:t>
        <w:br/>
        <w:t xml:space="preserve">92. Under these conditions, the positions of the various players at the national level as well as the characteristics of the markets for the products concerned must be taken into account to inform the analysis of the effects of the operation on the various local markets.  </w:t>
        <w:br/>
        <w:t xml:space="preserve">III. Competitive analysis  </w:t>
        <w:br/>
        <w:t xml:space="preserve">93. To the extent that the parties are simultaneously active in the markets for the supply and retail sale of decoration and bazaar products, the operation is likely to produce horizontal effects on the supply market (A) as well as on the retail distribution market (B)32.  </w:t>
        <w:br/>
        <w:t xml:space="preserve">28 See the letter from the Minister of Economy C2006-155 and the opinion of the Competition Council 07-A-06 mentioned above.  </w:t>
        <w:br/>
        <w:t xml:space="preserve">29 The decision-making practice of the Authority generally holds that the catchment area of a store can be limited to that which encompasses the customers representing 80% of the store's turnover or 80% of the store's customers, depending on the available data.  </w:t>
        <w:br/>
        <w:t xml:space="preserve">30 See decision No. 16-DCC-111 mentioned above.  </w:t>
        <w:br/>
        <w:t xml:space="preserve">31 See in particular the Commission's decisions No. COMP/M.2898, Leroy Merlin / Brico, December 13, 2002, and No. COMP/M.4226, DSGI / Fotovista, June 29, 200, and No. IV/M.1221, Rewe / Meinl, February 3, 1999, and No. COMP/M.1684, Carrefour / Promodès, January 25, 2000.  </w:t>
        <w:br/>
        <w:t xml:space="preserve">32 Mr. Philippe Ginestet does not hold any controlling interest in the personal equipment sector. Furthermore, GPG holds a controlling interest in the company Laboratoire Mességué, which manufactures and distributes, among other products, cosmetics, which are notably distributed in Gifi group stores. They are also sold to other resellers as well as  </w:t>
        <w:br/>
        <w:t xml:space="preserve">A. THE SUPPLY MARKET FOR DECORATION AND BAZAAR PRODUCTS  </w:t>
        <w:br/>
        <w:t xml:space="preserve">94. Purchases of decoration and bazaar products are primarily made by the purchasing center Agora Distribution for the stores of the target assets and by Gifi Diffusion SAS for the stores of the acquirer.  </w:t>
        <w:br/>
        <w:t xml:space="preserve">95. According to the parties' estimates, the purchasing share of the new entity would amount to [10-20]% in the French market for the supply of decoration and bazaar products. This purchasing share would be [0-5]% in the European market and, a fortiori, less than 1% in the global market for the supply of decoration and bazaar products.  </w:t>
        <w:br/>
        <w:t xml:space="preserve">96. It follows from all these elements that the notified operation is neither likely to affect the suppliers of the new entity nor to restrict the access of the parties' competitors to the upstream market for the supply of bazaar and decoration products. The operation is therefore not likely to affect competition in the upstream market for the supply of bazaar and decoration products.  </w:t>
        <w:br/>
        <w:t xml:space="preserve">B. THE RETAIL DISTRIBUTION MARKET FOR DECORATION AND BAZAAR PRODUCTS  </w:t>
        <w:br/>
        <w:t xml:space="preserve">1. ANALYSIS OF CONTRACTUAL RELATIONS BETWEEN NETWORK HEADS AND MEMBERS  </w:t>
        <w:br/>
        <w:t xml:space="preserve">97. The Authority in its decision-making practice and the Council of State ruling in litigation have stipulated that the market power of a distributor is assessed by taking into account both the stores owned and those operated in a network, regardless of their legal status, as long as their commercial policy is not sufficiently autonomous from the network head.  </w:t>
        <w:br/>
        <w:t xml:space="preserve">98. The Authority has notably considered that the following criteria allow inferring the lack of autonomy of network members: (i) compliance with the franchisor's advertising communication policy and participation in promotional campaigns, (ii) exclusivity of supply from suppliers referenced by the franchisor for part of the purchases, (iii) prohibition of modifying a sales outlet without the franchisor's authorization, (iv) the possibility for the franchisor to set a maximum price, (v) the obligation to reference part of the franchisor's product lines, or (vi) the existence of preemption, substitution, and preference clauses in favor of the franchisor in the event of the sale of a franchised store.  </w:t>
        <w:br/>
        <w:t xml:space="preserve">99. Regarding the franchised Tati stores located in the DROM, the notifying party indicated that these contracts would be replaced by [confidential] contracts after the operation is completed. The [confidential] contracts, with a variable duration ranging from […] years ([confidential]) to […] years ([confidential]), require submission to the grantor, for authorization, each [confidential], the communication plan, as well as an exclusivity of supply from Tati Diffusion amounting to at least [greater than 50]% of the turnover. Furthermore, these contracts [confidential]. They also specify that the franchised store must comply with an imposed architectural concept and provide [confidential] proof through a [confidential]. Finally, they contain preference clauses in favor of GPG in the event of the sale of the franchised store.  </w:t>
        <w:br/>
        <w:t xml:space="preserve">100. Regarding the franchised Tati stores in metropolitan France, only two stores are concerned, the store in La Seyne-sur-Mer and the store in La Valette-du-Var. Concerning the latter store, the notifying party indicates that it should soon be acquired by Gifi SAS and operated under the Gifi brand.  </w:t>
        <w:br/>
        <w:t xml:space="preserve">101. Regarding the Tati store in La Seyne-sur-Mer, the contract, with a duration of […] years, tacitly renewable for periods of […] years, requires the franchisee to participate in all national and regional campaigns set by the franchisor, as well as an exclusivity of supply from the franchisor's suppliers, amounting to at least [greater than 50]% of its purchases. It also requires the franchisee to submit all plans and estimates for the proposed works to the franchisor, who has the possibility to modify the layout of the premises and the presentation of the products. Finally, it contains a preemption right in favor of the franchisor.  </w:t>
        <w:br/>
        <w:t xml:space="preserve">102. Regarding the stores under management mandate of Gifi brands33, the contract requires sourcing from Gifi Diffusion, with any specific purchases different from those offered by the brand and the group's purchasing center needing to be validated by Gifi Diffusion's purchasing committees occurring […] times a year. The contract provides that the managing agents automatically receive all items concerned by national advertising campaigns. The contract specifies that the principal [confidential]. The managing agent, not being the owner of either the business assets or the premises, does not have a preemption right, but the managing agent is prohibited from any transformation or modification of the premises and equipment.  </w:t>
        <w:br/>
        <w:t xml:space="preserve">103. Regarding Gifi stores under non-exclusive brand usage and supply contracts, the contracts, generally lasting between […] and […] years, require the licensee to participate in [greater than 50]% of the catalog operations implemented by the grantor and to hold sufficient quantities of all products concerned by the advertising campaigns in which they choose to participate. Furthermore, the contract also requires the licensee to source at least [greater than 50]% of purchases from Gifi Diffusion and to offer a representative assortment of all products. The Gifi group also communicates recommended maximum selling prices and has a preemption right over the premises.  </w:t>
        <w:br/>
        <w:t xml:space="preserve">104. While GPG only communicates recommended maximum selling prices, the holders of the various contracts commit to respecting the prices indicated in the national campaigns, to which they are obliged to participate [confidential] for the managing agents and to [greater than 50]% of the operations for the holders of brand usage contracts. Furthermore, all Gifi stores in metropolitan France and Corsica offer the loyalty program "VIP card." Indeed, the brand's website indicates that the VIP card "is valid in all stores (metropolitan France and Corsica), except for stores in liquidation and Gifi.fr." This program entitles holders to immediate discounts at checkout on certain products indicated by a label. Since August 2017, this loyalty program [confidential]. Thus, an internal presentation communicated by the notifying party indicates that "[confidential]." Consequently, the pricing freedom of Gifi stores under management mandate and under brand usage contracts is partially restricted by the commercial policies emanating from the network head.  </w:t>
        <w:br/>
        <w:t>33 In the case of management mandate contracts, the duration of the contracts is relatively short. However, since GPG owns the business assets, the duration of the contract does not impact commercial autonomy. Indeed, the sales outlet can only be operated under the Gifi brand.</w:t>
      </w:r>
    </w:p>
    <w:p>
      <w:r>
        <w:rPr>
          <w:b/>
        </w:rPr>
        <w:t>[Pages 19–21]</w:t>
      </w:r>
    </w:p>
    <w:p>
      <w:r>
        <w:t xml:space="preserve">105. It is therefore necessary to take into account all of the parties' stores to assess the market power of the new entity.  </w:t>
        <w:br/>
        <w:t xml:space="preserve">2. COMPETITIVE ANALYSIS AT THE NATIONAL LEVEL  </w:t>
        <w:br/>
        <w:t xml:space="preserve">a) The position of the parties  </w:t>
        <w:br/>
        <w:t xml:space="preserve">In-store sales  </w:t>
        <w:br/>
        <w:t xml:space="preserve">106. The notifying party estimated its market shares in value, as well as those of its competitors, based on data from the Xerfi study34, an article from the LSA magazine35, and the websites "infogreffe.fr" and "societe.com." The revenues of large-scale retailers (GSS) in personal equipment and clearance stores were weighted according to the share of surface area that these brands dedicate to decoration and bazaar products.  </w:t>
        <w:br/>
        <w:t xml:space="preserve">107. The estimates of the position of the new entity and its competitors are indicated for a market of the distribution of decoration and bazaar products that only takes into account GSS in decoration and bazaar products as well as in personal and home equipment and clearance stores (hereinafter, "restricted market"). Considering the position of the new entity in a conservative hypothesis allows for measuring the competitive pressure exerted by its direct competitors, but does not take into account those of other operators that are active in the market, such as GSA and certain furniture brands.  </w:t>
        <w:br/>
        <w:t xml:space="preserve">108. The market shares of the new entity as well as its main competitors are indicated in the table below:  </w:t>
        <w:br/>
        <w:t xml:space="preserve">National market shares in the restricted market (in value)  </w:t>
        <w:br/>
        <w:t xml:space="preserve">Gifi [20-30] %  </w:t>
        <w:br/>
        <w:t xml:space="preserve">Tati [0-5] %  </w:t>
        <w:br/>
        <w:t xml:space="preserve">New entity [30-40] %  </w:t>
        <w:br/>
        <w:t xml:space="preserve">Action [10-20] %  </w:t>
        <w:br/>
        <w:t xml:space="preserve">Foir’Fouille [10-20] %  </w:t>
        <w:br/>
        <w:t xml:space="preserve">Centrakor [10-20] %  </w:t>
        <w:br/>
        <w:t xml:space="preserve">Babou [5-10] %  </w:t>
        <w:br/>
        <w:t xml:space="preserve">Casa [0-5] %  </w:t>
        <w:br/>
        <w:t xml:space="preserve">Noz [0-5] %  </w:t>
        <w:br/>
        <w:t xml:space="preserve">Stokomani [0-5] %  </w:t>
        <w:br/>
        <w:t xml:space="preserve">109. The market share of the new entity at the national level will reach [30-40] % in value in a restricted market, with an increment of [0-5] points. The position of the acquirer, a major player in the distribution of low and medium-priced decoration and bazaar products, will only be marginally strengthened at the national level.  </w:t>
        <w:br/>
        <w:t xml:space="preserve">110. Furthermore, the new entity will face competition from three significant direct operators, Foir’Fouille, Centrakor, and Action. Many direct competitors will remain active in the market, such as Casa, Babou, Noz, or Stokomani. Additionally, it will face competition from GSA and furniture brands that offer decoration and bazaar products and are positioned on low and medium prices.  </w:t>
        <w:br/>
        <w:t xml:space="preserve">111. Consequently, the operation is not likely to harm competition through horizontal effects at the national level regarding in-store sales of low and medium-priced decoration and bazaar products.  </w:t>
        <w:br/>
        <w:t xml:space="preserve">Online sales  </w:t>
        <w:br/>
        <w:t xml:space="preserve">112. The notifying party estimated that the market share of the new entity would be less than [0-5] % in the French online sales market for decoration and bazaar products.  </w:t>
        <w:br/>
        <w:t xml:space="preserve">113. It indicated that it did not have precise information on the value of online sales of low and medium-priced decoration and bazaar products in France and thus was unable to estimate its market share. However, it specified that online sales represented a very small share of its revenue and that of the target (respectively less than [0-5] % and [0-5] %). Furthermore, the new entity will face competition in this market from online operators specialized in online sales such as Amazon, Cdiscount, or La Redoute.  </w:t>
        <w:br/>
        <w:t xml:space="preserve">114. The operation is therefore not likely to harm competition through horizontal effects at the national level regarding online sales of low and medium-priced decoration and bazaar products.  </w:t>
        <w:br/>
        <w:t xml:space="preserve">b) Barriers to entry  </w:t>
        <w:br/>
        <w:t xml:space="preserve">115. The notifying party considers that the retail distribution market for low and medium-priced decoration and bazaar products is characterized by the absence of barriers to entry, as opening stores requires low investments (limited interior layout in such stores, low initial stock value, and modest rents). Furthermore, only the opening of a store with a sales area of more than 1,000 m² is subject to the authorization of the departmental commercial development commissions. Finally, the notifying party emphasizes that supply is characterized by a very wide and varied offer and is facilitated by the simplicity of the products, which are not protected by intellectual property rights. It specifies that the brands Action and Hema have been able to develop rapidly in the French market.  </w:t>
        <w:br/>
        <w:t xml:space="preserve">116. However, contrary to what the notifying party indicates, entering the market for the distribution of low and medium-priced decoration and bazaar products requires significant investments. Indeed, to be competitive in such a market, an operator must quickly reach a certain critical size to be able to bulk purchase. The operators that have recently entered the market are large foreign groups, with no independent operator having recently entered this market. Forum Plus, a GSS in decoration and bazaar products, has thus pointed out that it is not possible for an independent operator to enter the market due to the "colossal investment" required and the "obligation to know the suppliers."  </w:t>
        <w:br/>
        <w:t xml:space="preserve">117. Furthermore, while it is true that opening stores of less than 1,000 m² does not require any authorization, it remains the case that more than half of the stores considered by the notifying party in the competitive analysis had a sales area of at least 1,000 m². Additionally, some attractive commercial areas are saturated, making it impossible for a new operator to establish itself there. Centrakor has indicated that, to succeed in entering the market, an operator must have "an attractive geographical location, whereas some local markets show signs of saturation."  </w:t>
        <w:br/>
        <w:t xml:space="preserve">118. The necessity of quickly achieving a critical size and an attractive geographical location, as well as the importance of the investments to be made, constitute significant barriers to entry into the market for the distribution of low and medium-priced decoration and bazaar products, likely to limit the possibility of new operators entering the market as well as the development of already established operators.  </w:t>
        <w:br/>
        <w:t xml:space="preserve">3. COMPETITIVE ANALYSIS AT THE LOCAL LEVEL  </w:t>
        <w:br/>
        <w:t xml:space="preserve">119. The operation will allow Gifi to acquire 109 business assets36 in France, as well as to take over six commission-affiliation contracts and five franchise contracts, representing a total of twelve stores.  </w:t>
        <w:br/>
        <w:t xml:space="preserve">a) On the criteria for identifying catchment areas in which the operation is likely to harm competition  </w:t>
        <w:br/>
        <w:t xml:space="preserve">120. To assess whether an operation is likely to harm competition in a market, the guidelines of the Competition Authority indicate that two criteria must be examined, namely (i) the market shares of the new entity and its competitors and (ii) the degree of market concentration37. These two criteria are assessed on a case-by-case basis by the Competition Authority based on the characteristics and competitive structure of the analyzed markets.  </w:t>
        <w:br/>
        <w:t xml:space="preserve">121. To assess the effects of the notified operation, the Competition Authority initially retained a criterion in terms of market shares. Consequently, in each of the examined catchment areas, the parties provided estimates of market shares in sales area. These market shares were calculated as follows.  </w:t>
        <w:br/>
        <w:t xml:space="preserve">122. Initially, isochrone areas38 were delineated around the acquirer's stores (i) of 20 minutes of driving time in metropolitan France, excluding Paris intra-muros (ii) of 20, 30, and 45 minutes of driving time in the DROM, and (iii) of 1 and 2 kilometers in Paris intra-muros. The determination of the isochrone areas led to the identification of 152 catchment areas, centered on the acquirer's stores, in which the activities of the parties overlap.  </w:t>
        <w:br/>
        <w:t xml:space="preserve">123. In these areas, the Authority chose a conservative approach. It studied the market shares in surface area in a market limited to the closest competitors of the parties, namely GSS in decoration and bazaar, GSS in home and personal equipment, and clearance stores.  </w:t>
        <w:br/>
        <w:t xml:space="preserve">36 This figure includes the two business assets held respectively by the company BCG and Tati Vendin, with the GPG group taking over the entire capital of these two companies.  </w:t>
        <w:br/>
        <w:t xml:space="preserve">37 Guidelines of the Competition Authority regarding merger control, § 382.  </w:t>
        <w:br/>
        <w:t>38 An isochrone area is a geographical area delineated from a store (of the target or the acquirer) based on either a driving time or a calculated distance.</w:t>
      </w:r>
    </w:p>
    <w:p>
      <w:r>
        <w:rPr>
          <w:b/>
        </w:rPr>
        <w:t>[Pages 22–24]</w:t>
      </w:r>
    </w:p>
    <w:p>
      <w:r>
        <w:t xml:space="preserve">124. Indeed, while it is true that the market for the distribution of low and medium-priced decoration and bazaar products also includes large-scale retailers (GSA) and certain furniture store brands, these two categories of stores offer decoration and bazaar products that are not perfectly substitutable with those of brands similar to those of the parties and clearance stores. Furthermore, using market shares based on surface area could lead to an overestimation of the market share of furniture stores, as these stores offer fewer references per square meter than the parties' stores. Indeed, based on the data provided in the context of the market test, it appears that the ratio between the number of references and the sales area dedicated to decoration and bazaar is higher for the parties than it is for the large-scale retailers in furniture.  </w:t>
        <w:br/>
        <w:t xml:space="preserve">125. Simply taking into account the market share of the GSA and large furniture stores would not account for such differentiation in the offer, and would therefore lead to an overestimation of the competitive pressure that these stores exert on the market. The GSA and large furniture stores cannot therefore be considered within the framework of a first filter based on market shares, and will thus be taken into account at a later stage. The assumption retained by the Authority to include only large-scale retailers in decoration and bazaar, large-scale retailers in home and personal equipment, and clearance stores (hereinafter "restricted market") in the first analysis is therefore the most conservative assumption.  </w:t>
        <w:br/>
        <w:t xml:space="preserve">126. Market shares have been calculated based on the sales area of each store over 300 m², with the areas of large-scale retailers in home and personal equipment and clearance stores being weighted to only take into account the area dedicated to decoration and bazaar.  </w:t>
        <w:br/>
        <w:t xml:space="preserve">127. The competitive analysis has been conducted according to the following criteria:  </w:t>
        <w:br/>
        <w:t xml:space="preserve">- isochrone areas in which the market share of the new entity is less than 45% in a restricted market (b);  </w:t>
        <w:br/>
        <w:t xml:space="preserve">- isochrone areas in which the market share of the new entity is greater than 45% in a restricted market (c): for these areas, the analysis was then conducted on the actual footprints.  </w:t>
        <w:br/>
        <w:t xml:space="preserve">b) Analysis of isochrone areas in which the market share of the new entity is less than 45% (110 areas) in a restricted market  </w:t>
        <w:br/>
        <w:t xml:space="preserve">128. The guidelines of the Authority39 specify that "the existence of large market shares is an important element in assessing a company's market power. High post-operation market shares, on the order of 50% or more, may suggest the existence of significant market power." However, the market share threshold of 50% below which a concentration operation may suggest the absence of significant market power is indicative and should not lead to the exclusion of any competition issues by principle, as it must be adapted according to the competitive structure of each relevant market. For example, the Authority has repeatedly considered, in the context of retail distribution predominantly focused on food, that a cumulative market share of the parties of 45% could justify a thorough examination of catchment areas40. In this case, the 45% threshold appears to be more conservative since the market shares of the new entity have been calculated on a restricted market limited to the direct competitors of the new entity and not on the entire relevant market, on which the market shares of the new entity are lower.  </w:t>
        <w:br/>
        <w:t xml:space="preserve">129. The market share of the new entity will be less than 45% in 110 areas. In these areas, the Authority conducted a complementary analysis in terms of the reduction in the number of competitors. However, in the vast majority of the considered catchment areas, at least three competing groups (and at least four competing stores) remain present in the area after the observation is conducted.  </w:t>
        <w:br/>
        <w:t xml:space="preserve">130. Only the catchment areas of Lamentin (972), Ducos (972), Saint-André (974), and Saint-Pierre (974) will have at least three competing stores but operated by fewer than three competing groups, several stores being operated under the same brand. These areas are analyzed below.  </w:t>
        <w:br/>
        <w:t xml:space="preserve">131. In the Saint-Pierre area, where the market share of the new entity will reach a maximum of [10-20]%, two competing groups will be present and the increment related to the operation is less than [0-5] points. In the Saint-André area, where the market share of the new entity will reach a maximum of [20-30]%, two competing groups are also present, one of which will remain a leader with a market share of nearly [60-70]%. In the Lamentin area, the market share of the new entity will be less than [30-40]%, with only one competing group. This group will, however, remain the largest with a market share of [60-70]% and three stores in the area. Similarly, in the Ducos area, the new entity will have a market share of [40-50]%. However, the competing group will remain the largest, having at least two stores and a market share of [50-60]%.  </w:t>
        <w:br/>
        <w:t xml:space="preserve">132. The filtering method used by the Authority is conservative but may lead to threshold effects. To mitigate this risk, the Authority conducted a complementary analysis, which led it to examine certain actual footprints41 in the areas where the market share of the new entity is between 40% and 45%. Taking into account the actual footprints may lead, on the one hand, to include stores of the parties located in direct proximity to the considered isochrone area, and on the other hand, to exclude competing points of sale located on the inner edge of the considered isochrone area. This analysis led the Authority to thoroughly examine the competitive structure of six areas (Anglet, Besançon Châteaufarine, Bidart, Cabestany, La Seyne-sur-Mer, and Perpignan Nord).  </w:t>
        <w:br/>
        <w:t xml:space="preserve">133. Thus, the notifying party provided, at the request of the Authority, the actual footprint of each of these six areas. The market share calculated based on the actual footprint remains below 45% in all these areas, except for that of La Seyne-sur-Mer where the new entity will have a market share of [80-90]%. Furthermore, at least three competing groups will be active after the operation is completed in these same five areas.  </w:t>
        <w:br/>
        <w:t xml:space="preserve">***  </w:t>
        <w:br/>
        <w:t xml:space="preserve">134. Thus, with the exception of La Seyne-sur-Mer, the operation is not likely to harm competition in the 109 areas where the market share of the parties after the operation is less than 45%.  </w:t>
        <w:br/>
        <w:t xml:space="preserve">c) Analysis of areas where the market share is greater than 45% (42 areas) in a restricted market  </w:t>
        <w:br/>
        <w:t xml:space="preserve">41As indicated above, the decision-making practice of the Authority generally holds that the catchment area of a store can be limited to that which encompasses customers representing 80% of the store's turnover or 80% of the store's customers, depending on the available data.  </w:t>
        <w:br/>
        <w:t xml:space="preserve">135. The Authority identified 42 isochrone areas where the market share is greater than or equal to 45%. For 41 of these 42 areas, as well as for the area of La Seyne-sur-Mer, the notifying party provided actual footprints of the acquirer's stores. The in-depth analysis for the Servon area will, however, be conducted on the isochrone area, as the notifying party was unable to provide an actual footprint for this catchment area.  </w:t>
        <w:br/>
        <w:t xml:space="preserve">Areas where the analysis of actual footprints excludes any overlap of activities between the parties  </w:t>
        <w:br/>
        <w:t xml:space="preserve">136. Taking into account the actual footprints leads to the exclusion of twelve areas where the actual footprint does not reveal any overlap of activities between the parties. This is the case for the areas of Argelès-sur-Mer (66), Baule (45), Eysines (33), Gaillac (81), La Ciotat (13), Le Boulou (66), Marseille Jeanne d’Arc (13), Marseille Saint-Barnabé (13), Marseille Saint Tronc (13), Neuville (69), Noyon (60), and Thuir (66).  </w:t>
        <w:br/>
        <w:t xml:space="preserve">137. Consequently, the operation is not likely to harm competition in these twelve catchment areas.  </w:t>
        <w:br/>
        <w:t xml:space="preserve">Analysis of actual footprints where the market share is less than 45% in a restricted market  </w:t>
        <w:br/>
        <w:t xml:space="preserve">138. The market share of the new entity based on the actual footprints is less than 45% in nine areas: Albi (81), Ambares (33), Balma-Gramont (31), Bergerac (33), Bonneuil (94), Bordeaux (33), Floirac (33), Périgueux (24), and Villenave-d’Ornon (33).  </w:t>
        <w:br/>
        <w:t xml:space="preserve">139. The Authority also found that three competing groups will be active in each of these areas after the operation is completed. Consequently, the Authority considers that the operation is not likely to harm competition in these nine catchment areas.  </w:t>
        <w:br/>
        <w:t xml:space="preserve">Analysis of actual footprints where the market share is between 45% and 60% in a restricted market  </w:t>
        <w:br/>
        <w:t xml:space="preserve">140. The market share of the new entity, calculated in the narrowly defined market, will be between 45% and 60% in the following 18 areas:  </w:t>
        <w:br/>
        <w:t xml:space="preserve">New  </w:t>
        <w:br/>
        <w:t xml:space="preserve">GPG Group Target Active Competing  </w:t>
        <w:br/>
        <w:t xml:space="preserve">entity  </w:t>
        <w:br/>
        <w:t xml:space="preserve">Agde (34) [40-50]% [10-20]% [50-60]% Casa, La Foir’Fouille, Noz  </w:t>
        <w:br/>
        <w:t xml:space="preserve">Amiens (80) [50-60]% [0-5]% [50-60]% Eurodif, Hema, Kandy,  </w:t>
        <w:br/>
        <w:t xml:space="preserve">L’incroyable and Stokomani  </w:t>
        <w:br/>
        <w:t xml:space="preserve">Amiens Glisy (80) [40-50]% [0-5]% [40-50]%  </w:t>
        <w:br/>
        <w:t xml:space="preserve">Aubagne (13) [30-40]% [20-30]% [50-60]% La Foir’Fouille  </w:t>
        <w:br/>
        <w:t xml:space="preserve">Action, Centrakor, La  </w:t>
        <w:br/>
        <w:t xml:space="preserve">Beauvais (60) [40-50]% [5-10]% [40-50]% Foir’Fouille, Maxxilot, Noz,  </w:t>
        <w:br/>
        <w:t xml:space="preserve">Stokomani  </w:t>
        <w:br/>
        <w:t xml:space="preserve">Chambourcy (78) [30-40]% [10-20]% [50-60]% Zodio  </w:t>
        <w:br/>
        <w:t xml:space="preserve">Action, Casa, La  </w:t>
        <w:br/>
        <w:t>Compiègne (60) [30-40]% [5-10]% [40-50]% Foir’Fouille, Maxxilot</w:t>
      </w:r>
    </w:p>
    <w:p>
      <w:r>
        <w:rPr>
          <w:b/>
        </w:rPr>
        <w:t>[Pages 25–27]</w:t>
      </w:r>
    </w:p>
    <w:p>
      <w:r>
        <w:t xml:space="preserve">Nouvelle  </w:t>
        <w:br/>
        <w:t xml:space="preserve">Group GPG Targeted assets Competing brands  </w:t>
        <w:br/>
        <w:t xml:space="preserve">entity  </w:t>
        <w:br/>
        <w:t xml:space="preserve">Action, Casa, La  </w:t>
        <w:br/>
        <w:t xml:space="preserve">Dole (39) [40-50] % [5-10] % [50-60] % Foir’Fouille, Marché aux affaires, Noz  </w:t>
        <w:br/>
        <w:t xml:space="preserve">Action, Casa, La  </w:t>
        <w:br/>
        <w:t xml:space="preserve">Fresnes (94) [20-30] % [20-30] % [40-50] % Foir’Fouille, Stokomani, Zodio  </w:t>
        <w:br/>
        <w:t xml:space="preserve">Action, Casa, Eurodif, La  </w:t>
        <w:br/>
        <w:t xml:space="preserve">Gradignan (31) [50-60] % [0-5] % [50-60] % Foir’Fouille, Stokomani  </w:t>
        <w:br/>
        <w:t xml:space="preserve">Action, Centrakor,  </w:t>
        <w:br/>
        <w:t xml:space="preserve">Laon (02) [30-40] % [5-10] % [40-50] % Croc’Affaires and Noz  </w:t>
        <w:br/>
        <w:t xml:space="preserve">Le-Puy-en-Velay (43) [50-60] % [0-5] % [50-60] % Casa, Centrakor, Noz  </w:t>
        <w:br/>
        <w:t xml:space="preserve">Mont-de-Marsan (40) [40-50] % [10-20] % [50-60] % Centrakor, Noz, La Foir’Fouille  </w:t>
        <w:br/>
        <w:t xml:space="preserve">Casa, Centrakor, La  </w:t>
        <w:br/>
        <w:t xml:space="preserve">Narbonne (11) [40-50] % [10-20] % [50-60] % Foir’Fouille  </w:t>
        <w:br/>
        <w:t xml:space="preserve">Babou, Casa, Clash Price,  </w:t>
        <w:br/>
        <w:t xml:space="preserve">Olivet (45) [40-50] % [5-10] % [40-50] % Eurodif  </w:t>
        <w:br/>
        <w:t xml:space="preserve">Action, Centrakor, La  </w:t>
        <w:br/>
        <w:t xml:space="preserve">Servon (77)* [40-50] % [5-10] % [50-60] % Foir’Fouille, Marché aux affaires, Maxxilot, Noz  </w:t>
        <w:br/>
        <w:t xml:space="preserve">Casa, Centrakor, Foire aux affaires,  </w:t>
        <w:br/>
        <w:t xml:space="preserve">Villefranche (69) [40-50] % [5-10] % [40-50] % Marché aux affaires  </w:t>
        <w:br/>
        <w:t xml:space="preserve">Vitry-sur-Seine (94) Action, Babou, Clash Price, [10-20] % [20-30] % [40-50] % Hema  </w:t>
        <w:br/>
        <w:t xml:space="preserve">*Market share calculated on the 20-minute isochrone area  </w:t>
        <w:br/>
        <w:t xml:space="preserve">The fifteen actual footprints (market share between 45% and 60%) in which the operation is not likely to harm competition  </w:t>
        <w:br/>
        <w:t xml:space="preserve">141. The Authority first analyzed the areas where at least three direct competing groups each held at least one point of sale. Following the competitive analysis for the 16 areas meeting this criterion, the Authority concluded that 15 areas were not likely to harm competition. Only the area of Puy-en-Velay appears to potentially raise competition issues despite the presence of three competitors. It will be subject to further analysis.  </w:t>
        <w:br/>
        <w:t xml:space="preserve">142. In the area of Agde, the new entity will have a market share of [50-60]% in a restricted market. In this area, three competing groups are present (Casa, la Foir’Fouille, and Noz42), one of the competitors being located less than a minute from the two stores of the parties.  </w:t>
        <w:br/>
        <w:t xml:space="preserve">42 According to the Noz group's website, a Noz store will open in Agde on December 19, 2017. According to CDAC data, this point of sale will have a sales area of 899 m². The appeal period having been exhausted and considering the upcoming opening date, this point of sale has been included in the analysis of the Agde area. Indeed, in accordance with the Authority's consistent decision-making practice, the potential competition from points of sale that only exist at the project stage at the time of the decision can only be taken into account in the competitive analysis if their opening is sufficiently certain (authorization cleared of any appeal) and rapid, the timeframe generally considered being one year.  </w:t>
        <w:br/>
        <w:t xml:space="preserve">143. In the areas of Amiens and Amiens Glisy, which almost completely overlap, the new entity will have market shares of [50-60]% and [40-50]% respectively in the narrowly defined market. In these areas, five competing groups will be active following the operation. Furthermore, the Tati store in Amiens currently offers very few decoration and bazaar products. Consequently, the increment related to the operation is less than one point. However, to account for a possible redeployment of the surface of this point of sale towards decoration and bazaar products, the Authority estimated the market shares in the event that the entire surface of this store would be dedicated to the sale of decoration and bazaar products. These market shares remain, in any case, below 60%.  </w:t>
        <w:br/>
        <w:t xml:space="preserve">144. In the area of Beauvais, the new entity will have a market share of [40-50]% in the restricted market. Six competing groups will be active in the area following the operation, four of which are located less than four minutes from the buyer's store, the target also being located less than four minutes from the latter.  </w:t>
        <w:br/>
        <w:t xml:space="preserve">145. In the area of Compiègne, the new entity will have a market share of [40-50]% in the restricted market. Four competing brands will be present in the area, all located within a ten-minute drive from the center of the area and from the buyer's store.  </w:t>
        <w:br/>
        <w:t xml:space="preserve">146. In the area of Dole, the new entity will have a market share of [50-60]% in the restricted market. The new entity will face five competing groups. The two stores of the new entity are distant (about ten minutes by car), each having at least two direct competitors nearby (about three minutes by car).  </w:t>
        <w:br/>
        <w:t xml:space="preserve">147. In the area of Fresnes, the new entity will have a market share of [40-50]%. In this area, five groups will be active after the operation is completed. A target store is located near the buyer's store in the center of the area, but two competing stores are also nearby. The second closest store of the target is also near two competing stores.  </w:t>
        <w:br/>
        <w:t xml:space="preserve">148. In the area of Gradignan, the new entity will have a market share of [50-60]% in the restricted market, with a limited increment of [0-5] points. The new entity will have five stores in the area and three Gifi stores are located on the outer edge of the area. However, five competing groups and seven stores are present in the area. Additionally, the overlap with the target occurs at the boundary of the actual footprint of the Gifi store in Gradignan and a competitor is located near this target store.  </w:t>
        <w:br/>
        <w:t xml:space="preserve">149. In the area of Laon, the new entity will have a market share of [40-50]% in the restricted market. In the area, four groups and five competing stores will be present after the operation is completed. The target store is located in the same shopping center as two direct competitors. Furthermore, the parties' stores are distant from each other (about 12 minutes by car).  </w:t>
        <w:br/>
        <w:t xml:space="preserve">150. In the area of Mont-de-Marsan, the new entity will have a market share of [50-60]% in the restricted market. The buyer's store in the center of the area will be closer to two competing groups (about five minutes by car) than to the target store, which is itself located less than a minute from a competing brand.  </w:t>
        <w:br/>
        <w:t xml:space="preserve">151. In the area of Narbonne, the new entity will have a market share of [50-60]% in the restricted market. Three competing groups are present in the area, with two stores located less than five minutes by car.  </w:t>
        <w:br/>
        <w:t xml:space="preserve">152. In the area of Olivet, the new entity will have a market share of [40-50]% in the restricted market. In the area, four competing groups will be active following the operation.  </w:t>
        <w:br/>
        <w:t xml:space="preserve">The target store is located 13 minutes by car from the buyer's store located in the center of the area, which is near a direct competitor with a significant surface area.  </w:t>
        <w:br/>
        <w:t xml:space="preserve">153. In the area of Servon, the new entity will have a market share of [50-60]% in the restricted market and six stores in the area. The closest Gifi store and Tati store are located 13 minutes by car from each other. Furthermore, six competing groups (operating a total of nine stores) will be present following the operation.  </w:t>
        <w:br/>
        <w:t xml:space="preserve">154. In the area of Villefranche, the new entity will have a market share of [40-50]% in the restricted market. The area includes four competing groups operating six stores, three of which are in direct proximity to the parties.  </w:t>
        <w:br/>
        <w:t xml:space="preserve">155. In the area of Vitry-sur-Seine, the new entity will have a market share of [40-50]% in the restricted market. The area includes three competing groups operating four stores.  </w:t>
        <w:br/>
        <w:t xml:space="preserve">***  </w:t>
        <w:br/>
        <w:t xml:space="preserve">156. The risks of harming competition through horizontal effects can thus be ruled out in the areas of Agde, Amiens, Amiens Glisy, Beauvais, Compiègne, Dole, Fresnes, Gradignan, Laon, Mont-de-Marsan, Narbonne, Olivet, Servon, Villefranche, and Vitry-sur-Seine.  </w:t>
        <w:br/>
        <w:t xml:space="preserve">The three actual footprints (market share between 45% and 60%) in which the operation is likely to harm competition  </w:t>
        <w:br/>
        <w:t xml:space="preserve">157. Furthermore, the new entity will have market shares between 45% and 60% and will face fewer than three competing groups in two areas (Aubagne and Chambourcy). Additionally, in the area of Puy-en-Velay, the share of the new entity is close to [60-70]% ([50-60]%), even though the surface allocated to decoration and bazaar products in the target store is very low and could evolve, which would be likely to change the market share of the new entity.  </w:t>
        <w:br/>
        <w:t xml:space="preserve">158. Given the limited number of direct competitors or certain specificities, an analysis of a restricted market does not eliminate the risks of harming competition. It is therefore necessary to conduct a complementary analysis by integrating all operators active in the market for the distribution of low and medium-priced decoration and bazaar products (hereinafter "the relevant market"), which also includes large-scale retailers (GSA) and certain large furniture stores, while taking into account their imperfect substitutability with large-scale stores (GSS) in decoration and bazaar products as well as in personal and home equipment, and with clearance stores.  </w:t>
        <w:br/>
        <w:t xml:space="preserve">159. In this case, in light of the information provided in the context of the market test, and notably the average prices communicated and the ranges of products offered, the Authority retained the furniture brands Ikea, Alinea, and Fly.  </w:t>
        <w:br/>
        <w:t>160. Regarding the GSA, the market test indicated that only hypermarkets were able to compete with the parties' stores. In accordance with the Authority's decision-making practice, only brands with a sales area of more than 300 m² were retained for GSS in decoration and bazaar products, GSS in personal and home equipment, and clearance stores. To identify the GSA with sufficient surface area to exert competitive pressure in the catchment areas, the Authority took into account...</w:t>
      </w:r>
    </w:p>
    <w:p>
      <w:r>
        <w:rPr>
          <w:b/>
        </w:rPr>
        <w:t>[Pages 28–30]</w:t>
      </w:r>
    </w:p>
    <w:p>
      <w:r>
        <w:t xml:space="preserve">compared only the GSA dedicating 300 m² to decoration and bazaar products, which corresponds to GSA with a total sales area of more than 6,000 m²43.  </w:t>
        <w:br/>
        <w:t xml:space="preserve">♦ Aubagne Area  </w:t>
        <w:br/>
        <w:t xml:space="preserve">161. The new entity will have a market share of [50-60]% with an increment of [20-30] points. The Aubagne area is included in the Roquevaire area. This latter area has the same competitors as Aubagne, but the parties have an additional store there. Consequently, the risks of harming competition are greater in the Roquevaire area, and the detailed competitive analysis will be conducted in this area.  </w:t>
        <w:br/>
        <w:t xml:space="preserve">♦ Chambourcy Area  </w:t>
        <w:br/>
        <w:t xml:space="preserve">162. The new entity will have a market share of [50-60]% in a restricted market with an increment of [10-20] points. Only one direct competitor is present in the area. No furniture brand and only two GSA are active in the catchment area.  </w:t>
        <w:br/>
        <w:t xml:space="preserve">163. Competition in the area is therefore limited, with only one direct competitor and two sufficiently sized GSA. The market share of the new entity in the relevant market remains significant, as it stands at [40-50]%, with a single direct competitor ([30-40]%) and two GSA ([10-20]%).  </w:t>
        <w:br/>
        <w:t xml:space="preserve">164. Furthermore, the Authority's guidelines specify that it is unlikely that a transaction will raise horizontal competition issues when the Herfindahl-Hirschman Index44 ("IHH") after the transaction is between 1,000 and 2,000 and the delta is less than 250, or when the IHH after the transaction is above 2,000 and the delta is less than 150. However, in this area, the IHH in the relevant market after the transaction is above 2,000 (3,501) with a delta greater than 150 (902).  </w:t>
        <w:br/>
        <w:t xml:space="preserve">♦ Puy-en-Velay Area  </w:t>
        <w:br/>
        <w:t xml:space="preserve">165. The new entity will have a market share of [50-60]% in the restricted market. The parties in this area are the closest competitors and share the same building, their respective entrances being less than 100 meters apart. The area will have three competing groups, which are relatively distant from the parties (more than eight minutes). However, the competitors' surface area is limited, with the combined surface area of the three direct competitors equal to the surface area of the single Gifi store.  </w:t>
        <w:br/>
        <w:t xml:space="preserve">166. Furthermore, since the store brand of the target is a Fabio Lucci, the area allocated to decoration and bazaar products is very small ([less than 50] m²). To account for a potential redeployment of the area towards decoration and bazaar, the Authority estimated the market shares of the new entity in the event that the entire area would be affected by this redeployment. The market share then reaches [60-70]% with an increment of [10-20] points.  </w:t>
        <w:br/>
        <w:t xml:space="preserve">167. Reasoning on the relevant market, only one GSA and one limited-sized furniture brand (estimated share dedicated to decoration and bazaar less than 300 m²) will be present in the area. In this market, the new entity will have a market share of [50-60]%, with the respective market shares of direct and indirect competitors being limited (less than [10-20]%). Furthermore, the Gifi in Puy-en-Velay has a total sales area greater than that of each of its competitors, except for the hypermarket.  </w:t>
        <w:br/>
        <w:t xml:space="preserve">43 See point 47.  </w:t>
        <w:br/>
        <w:t xml:space="preserve">44 The Herfindahl-Hirschman Index (IHH) measures the degree of concentration of a market. It is equal to the sum of the squares of the market shares of each of the companies present in the market.  </w:t>
        <w:br/>
        <w:t xml:space="preserve">28  </w:t>
        <w:br/>
        <w:t xml:space="preserve">168. The transaction is therefore likely to harm competition through horizontal effects in the Chambourcy and Puy-en-Velay areas.  </w:t>
        <w:br/>
        <w:t xml:space="preserve">Analysis of actual footprints where the market share exceeds 60% in a market including only GSS in decoration and bazaar, GSS in household and personal equipment, and clearance stores  </w:t>
        <w:br/>
        <w:t xml:space="preserve">169. The Authority identified four areas where the market share in a restricted market, calculated on actual footprints, exceeds 60% (La Seyne-sur-Mer, Marseille-La-Valentine, Roquevaire, and Thonon-Les-Bains).  </w:t>
        <w:br/>
        <w:t xml:space="preserve">170. The market shares of the new entity calculated in the restricted market are presented in the table below:  </w:t>
        <w:br/>
        <w:t xml:space="preserve">Brands  </w:t>
        <w:br/>
        <w:t xml:space="preserve">GPG Group Target Active Competitors New Entity  </w:t>
        <w:br/>
        <w:t xml:space="preserve">La Seyne-sur-Mer 123 Market, [50-60]% [20-30]% [80-90]% (83) Stokomani  </w:t>
        <w:br/>
        <w:t xml:space="preserve">123 Market, Casa, Eurodif, Marseille-La- [50-60]% [0-5]% [60-70]% Hema, La Valentine (13) Foir’Fouille, Maxibazar  </w:t>
        <w:br/>
        <w:t xml:space="preserve">Roquevaire (13) [50-60]% [10-20]% [60-70]% La Foir’Fouille  </w:t>
        <w:br/>
        <w:t xml:space="preserve">Thonon-Les-Bains Casa, La [60-70]% [10-20]% [70-80]% (74) Foir’Fouille  </w:t>
        <w:br/>
        <w:t xml:space="preserve">171. Given the high market shares of the new entity, an analysis of a restricted market does not eliminate the risks of harming competition. It is therefore necessary to conduct an analysis that includes all operators active in the relevant market, as previously done for the Chambourcy and Puy-en-Velay areas.  </w:t>
        <w:br/>
        <w:t xml:space="preserve">La Seyne-sur-Mer Area  </w:t>
        <w:br/>
        <w:t xml:space="preserve">172. In a restricted market, the new entity will have a market share of [80-90]% with an increment of nearly [20-30] points. In this area, only two direct competitors (123 Market and Stokomani) will be active after the transaction. These have a limited sales area (less than 500 m²) while the two stores of the new entity each have a sales area for decoration and bazaar products greater than 1,000 m².  </w:t>
        <w:br/>
        <w:t xml:space="preserve">173. Moreover, only one GSA is active in the catchment area. The market share of the new entity in the relevant market remains very strong ([70-80]%), with direct competitors having a market share of [10-20]% and the GSA [10-20]%. After the transaction, the new entity will have the two largest distribution areas for decoration and bazaar products in the area.  </w:t>
        <w:br/>
        <w:t xml:space="preserve">174. The notifying party argues that the actual footprint of La Seyne-sur-Mer would be too narrow due to the recent opening of the Gifi store (October 2016). In this regard, it provided a map representing the distribution area of the brochures for the Gifi store in La Seyne-sur-Mer. This map includes, in addition to the area defined by the actual footprint, Saint-Mandrier-sur-Mer, the vast majority of the city of Ollioules, and a tiny part of the city of Toulon45. By incorporating the cities of Saint-Mandrier-sur-Mer and Ollioules into the actual footprint, the market share of the new entity in a restricted market reaches [60-70]% with two additional competitors (Casa and Centrakor). The four competing groups have limited total sales areas (less than 1,000 m²) while the two stores of the parties each exceed 2,500 m². Furthermore, in the relevant market, the market share of the new entity remains significant as it stands at [50-60]% and the number of competitors of the new entity remains limited (4 direct competitors of limited size and two GSA).  </w:t>
        <w:br/>
        <w:t xml:space="preserve">Roquevaire Area  </w:t>
        <w:br/>
        <w:t xml:space="preserve">175. The new entity will have a market share of [60-70]% with an increment of 14 points. The new entity will have three stores in the area (two stores of the acquirer and one store of the target) for a sales area of approximately 2,500 m². Only one direct competitor is present in the area. This is the Foir’Fouille group, which has a single point of sale in the area.  </w:t>
        <w:br/>
        <w:t xml:space="preserve">176. In the relevant market, the new entity will have three stores and will face only one direct competitor, two GSS in furniture, and one GSA. While one of the GSS in furniture dedicates a significant area to decoration and bazaar (approximately 4,000 m²), the other competitors consistently have sales areas smaller than one of the parties' stores. Furthermore, in this area where the supply was already highly concentrated prior to the transaction, the impact of the disappearance of a competitor is strong. As previously indicated46, the risks of harming competition can be dismissed if the IHH is above 2000 after the transaction and the delta is 150. However, in this area, the IHH in the relevant market after the transaction is above 2,000 (3,165) with a delta greater than 150 (246).  </w:t>
        <w:br/>
        <w:t xml:space="preserve">Thonon-les-Bains Area  </w:t>
        <w:br/>
        <w:t xml:space="preserve">177. In a restricted market, the market share of the new entity in this area will be [70-80]%, with the increment related to the transaction being [10-20] points. The new entity will have three stores (two Gifi and one Tati), two of which are in direct proximity to each other. Only two competing groups (Casa and La Foir’Fouille) are present in the area, one of which, Casa, has a limited market share ([5-10]%). The two competitors are close to the target and one of the Gifi.  </w:t>
        <w:br/>
        <w:t xml:space="preserve">178. In the relevant market, the market share of the new entity will remain high as it will be [60-70]%. The new entity will compete with two direct competitors (Casa and La Foir’Fouille), one furniture brand (Fly), and two GSA. All competitors, except for one of the two GSA, are located near the acquirer's store in the center of the area.  </w:t>
        <w:br/>
        <w:t xml:space="preserve">Marseille-La Valentine Area  </w:t>
        <w:br/>
        <w:t xml:space="preserve">179. In the Marseille La Valentine area, the new entity will have a market share of [60-70]%, with an increment of less than [5-10] points. The new entity will have six stores with a total sales area of nearly 7,500 m².  </w:t>
        <w:br/>
        <w:t xml:space="preserve">180. However, after the transaction, there will remain seven direct competing groups in the area. Furthermore, three furniture brands (Ikea, Fly, and Alinea)  </w:t>
        <w:br/>
        <w:t xml:space="preserve">45 In this tiny part of the city of Toulon, there are no competitors of the parties.  </w:t>
        <w:br/>
        <w:t xml:space="preserve">46 See point 164.  </w:t>
        <w:br/>
        <w:t>30</w:t>
      </w:r>
    </w:p>
    <w:p>
      <w:r>
        <w:rPr>
          <w:b/>
        </w:rPr>
        <w:t>[Pages 31–33]</w:t>
      </w:r>
    </w:p>
    <w:p>
      <w:r>
        <w:t xml:space="preserve">and three large-scale retailers (GSA) of significant size (greater than 6,000 m²) are also present. The position of the new entity in the relevant market is thus very limited as it is below [10-20] %.  </w:t>
        <w:br/>
        <w:t xml:space="preserve">***  </w:t>
        <w:br/>
        <w:t xml:space="preserve">181. The operation is therefore likely to harm competition through horizontal effects in the areas of La Seyne-sur-Mer, Roquevaire, and Thonon-les-Bains. However, any risk of harm to competition through horizontal effects in the area of Marseille La Valentine can be ruled out.  </w:t>
        <w:br/>
        <w:t xml:space="preserve">IV. Inapplicability of the failing firm defense  </w:t>
        <w:br/>
        <w:t xml:space="preserve">182. The notifying party argues that the situation of the target companies justifies the application of the failing firm defense. In the specific case of a competitor acquiring a company that would disappear in the short term if the operation were not carried out or that has disappeared due to a collective procedure, the Competition Authority may consider authorizing the operation unconditionally, even if it harms competition. Indeed, in the case of an acquisition by a competitor of a distressed company, the operation may be authorized without conditions when it appears that the effects of the operation would not be more detrimental than those resulting from the disappearance of the distressed company.  </w:t>
        <w:br/>
        <w:t xml:space="preserve">183. The Council of State has recalled47 that three cumulative conditions must be met to justify such an exception: "in the case of the acquisition by a competitor of a distressed company, the minister must authorize the operation without attaching conditions when it appears at the end of this assessment that the effects of this operation on competition would not be more detrimental than those resulting from the disappearance of the distressed company, that is to say, it must be established, firstly, that these difficulties would lead to the disappearance of the company in the absence of an acquisition, secondly, that there is no other acquisition offer less harmful to competition, covering all or a substantial part of the company, and, thirdly, that the disappearance of the distressed company would not be less harmful to consumers than the proposed acquisition."  </w:t>
        <w:br/>
        <w:t xml:space="preserve">184. Regarding the third condition, it is necessary to conduct a counterfactual analysis of the deterioration of the competitive structure in the market that would result from the disappearance of the target companies and to compare it with the competitive analysis of the notified operation48. In this case, the arguments put forward by the parties in support of this condition have not been substantiated at all. Given the weakness of the evidence provided, it is therefore not established that the acquisition of Tati's assets by GPG would be less harmful than their disappearance.  </w:t>
        <w:br/>
        <w:t xml:space="preserve">185. In light of the above, and without the need to analyze in detail the two other cumulative criteria retained by case law, the conditions for applying the failing firm defense are not met in this case.  </w:t>
        <w:br/>
        <w:t xml:space="preserve">47 See the decision of February 6, 2004, Société Royal Philips Electronic &amp; others.  </w:t>
        <w:br/>
        <w:t xml:space="preserve">48 Decision of the Commission JCI/VB/FIAMM, cited above, point 751.  </w:t>
        <w:br/>
        <w:t xml:space="preserve">31  </w:t>
        <w:br/>
        <w:t xml:space="preserve">V. Proposed commitments  </w:t>
        <w:br/>
        <w:t xml:space="preserve">186. In order to address serious doubts regarding the effects of the operation on competition in the downstream retail markets for decoration and bazaar products in the areas of Aubagne/Roquevaire (13), Chambourcy (78), Le Puy-en-Velay (43), La Seyne-sur-Mer (83), and Thonon-les-Bains (74), the notifying party submitted a proposal for commitments on November 15, 2017. This proposal was last modified on December 11, 2017, to take into account, in particular, the results of the market test. The text of these commitments, attached as an annex, forms an integral part of this decision.  </w:t>
        <w:br/>
        <w:t xml:space="preserve">A. THE PROPOSED COMMITMENTS  </w:t>
        <w:br/>
        <w:t xml:space="preserve">187. The proposed commitments concern five points of sale (two Tati stores, one Giga Store, one Fabio Lucci store, and one Gifi store) in five catchment areas. GPG commits to:  </w:t>
        <w:br/>
        <w:t xml:space="preserve">- sell the point of sale within […] months from the notification of this decision, when it concerns integrated stores. If the sale cannot occur within this timeframe, it will then be entrusted to a representative. The divestiture commitments concern three stores located in Aubagne, Chambourcy, and Anthy-sur-Léman;  </w:t>
        <w:br/>
        <w:t xml:space="preserve">- acquire the business assets as well as the premises of the point of sale and sell the business assets and possibly the premises within […] months from the notification of this decision. If the sale of the business assets cannot occur within this timeframe, it will then be entrusted to a representative. If the premises are not sold as part of this commitment, the commercial lease contract must include a right of first refusal in favor of the acquirer of the business assets. This divestiture commitment concerns the store located in La Seyne-sur-Mer;  </w:t>
        <w:br/>
        <w:t xml:space="preserve">- not distribute decoration and bazaar products in the Fabio Lucci store in Le Puy-en-Velay for a period of […] years renewable from the notification of this decision.  </w:t>
        <w:br/>
        <w:t xml:space="preserve">188. The areas and points of sale concerned by the commitments are as follows:  </w:t>
        <w:br/>
        <w:t xml:space="preserve">Area Brand Commitment Address of the point of sale  </w:t>
        <w:br/>
        <w:t xml:space="preserve">Avenue Manoukian, place called Le Charrel 13400  </w:t>
        <w:br/>
        <w:t xml:space="preserve">Aubagne Gifi Divestiture  </w:t>
        <w:br/>
        <w:t xml:space="preserve">Aubagne  </w:t>
        <w:br/>
        <w:t xml:space="preserve">Chambourcy Gigastore Divestiture 63 rue du Général de Gaulle 78300 Poissy  </w:t>
        <w:br/>
        <w:t xml:space="preserve">ZAC des Portes Occitanes, place called de Chirel 43000  </w:t>
        <w:br/>
        <w:t xml:space="preserve">Le Puy-en-Velay Fabio Lucci Behavioral  </w:t>
        <w:br/>
        <w:t xml:space="preserve">Le Puy-en-Velay  </w:t>
        <w:br/>
        <w:t xml:space="preserve">La Seyne-sur-Mer Tati Divestiture Chemin de la Farlède 83500 La Seyne-sur-Mer  </w:t>
        <w:br/>
        <w:t xml:space="preserve">Avenue du pré Robert Nord, place called Marclaz Dessus  </w:t>
        <w:br/>
        <w:t xml:space="preserve">Thonon-les-Bains Tati Divestiture  </w:t>
        <w:br/>
        <w:t xml:space="preserve">74200 Anthy-sur-Léman  </w:t>
        <w:br/>
        <w:t xml:space="preserve">32  </w:t>
        <w:br/>
        <w:t xml:space="preserve">189. GPG also commits to appoint an independent representative whose mission will be to ensure the satisfactory execution by GPG of all its obligations. If it does not find buyers for the four aforementioned stores within the deadlines specified in paragraph 187, a representative will be tasked with finding buyers for the divested stores and negotiating with them, on behalf of GPG, the terms of the divestiture. The buyers must be independent of the notifying party and have no ties to it. They must possess the financial resources and expertise to preserve and develop in a viable manner the capacity of the divested activities to stimulate competition in the relevant local markets.  </w:t>
        <w:br/>
        <w:t xml:space="preserve">B. ASSESSMENT OF THE PROPOSED MEASURES  </w:t>
        <w:br/>
        <w:t xml:space="preserve">1. ON THE OBJECTIVE AND ADEQUACY OF THE REMEDIES  </w:t>
        <w:br/>
        <w:t xml:space="preserve">190. In the case of a horizontal concentration, the Authority primarily seeks structural corrective measures aimed at ensuring competitive market structures through divestitures to an appropriate acquirer capable of exerting real competition, or the elimination of capital links between competitors49. Furthermore, the Authority ensures that the remedies are proportionate. Consequently, the measures adopted must effectively remedy the identified harms to competition, imposing on the companies a burden strictly necessary to maintain or restore sufficient competition.  </w:t>
        <w:br/>
        <w:t xml:space="preserve">a) Structural commitments  </w:t>
        <w:br/>
        <w:t xml:space="preserve">Areas of Aubagne, Chambourcy, and Thonon-les-Bains  </w:t>
        <w:br/>
        <w:t xml:space="preserve">191. The structural commitments proposed by the notifying party allow for the elimination of the competition problems caused by the operation in the following manner: either the divested points of sale eliminate the addition of market shares resulting from the operation, or they allow for a significant reduction in the market share of the new entity, to a level below 50% in the affected areas.  </w:t>
        <w:br/>
        <w:t xml:space="preserve">192. Moreover, the effectiveness of the remedies depends on the divestiture of the relevant assets to one or more appropriate acquirers. To restore sufficient competitive conditions, the acquirer(s) must be capable of effectively competing with the new entity in the relevant markets.  </w:t>
        <w:br/>
        <w:t xml:space="preserve">193. In this case, the notifying party commits to ensuring that the acquirers, active in the retail distribution of low and medium-priced decoration and bazaar products, are independent of GPG and its subsidiaries and possess the financial resources and expertise to preserve and develop in a viable manner the capacity of the divested activities to stimulate competition in the relevant local markets.  </w:t>
        <w:br/>
        <w:t xml:space="preserve">194. These commitments are made for a duration of […] years, during which GPG will not be able to reacquire the divested stores, nor acquire direct or indirect influence over them.  </w:t>
        <w:br/>
        <w:t xml:space="preserve">Area of La Seyne-sur-Mer  </w:t>
        <w:br/>
        <w:t xml:space="preserve">195. In this area, the franchisee under the Tati brand began discussions with GPG as early as September 2017 regarding the divestiture of the premises and the business assets of La Seyne-sur-Mer.  </w:t>
        <w:br/>
        <w:t xml:space="preserve">49 Guidelines of the Competition Authority regarding the control of concentrations, cited above, §575.  </w:t>
        <w:br/>
        <w:t>33</w:t>
      </w:r>
    </w:p>
    <w:p>
      <w:r>
        <w:rPr>
          <w:b/>
        </w:rPr>
        <w:t>[Pages 34–35]</w:t>
      </w:r>
    </w:p>
    <w:p>
      <w:r>
        <w:t xml:space="preserve">Given these elements, a commitment to terminate the franchise agreement was not appropriate.  </w:t>
        <w:br/>
        <w:t xml:space="preserve">196. The structural commitment proposed by the notifying party provides for:  </w:t>
        <w:br/>
        <w:t xml:space="preserve">- the acquisition of the business and premises of the franchised store under the Tati brand by GPG;  </w:t>
        <w:br/>
        <w:t xml:space="preserve">- the sale of this same business to a buyer capable of effectively competing with the new entity in the relevant markets;  </w:t>
        <w:br/>
        <w:t xml:space="preserve">- the possibility for the buyer of the business to acquire the premises of the store in Seyne-sur-Mer, [confidential].  </w:t>
        <w:br/>
        <w:t xml:space="preserve">197. Thus, the buyer will have the choice to own the premises or to enter into a commercial lease with GPG. In this second scenario, the notifying party has committed to ensuring that the commercial lease includes a right of first refusal in the event of a subsequent sale by GPG of the premises to a third party.  </w:t>
        <w:br/>
        <w:t xml:space="preserve">198. This commitment takes into account a specific situation, the cessation of activity of the franchisee, while allowing for the elimination of the identified competition issues in the area, by removing the overlap in the retail distribution of low and medium-priced decoration and bazaar products in the Seyne-sur-Mer area.  </w:t>
        <w:br/>
        <w:t xml:space="preserve">199. Similarly to the structural commitments made in the areas of Aubagne, Chambourcy, and Thonon-les-Bains, the buyer(s) must be capable of effectively competing with the new entity in the relevant markets, be independent of GPG, and possess the financial resources as well as the skills to preserve and sustainably develop the capacity of the divested activities to stimulate competition in the relevant local markets.  </w:t>
        <w:br/>
        <w:t xml:space="preserve">200. This commitment is made for a duration of […] years, during which GPG will not be able to reacquire the divested stores, nor acquire direct or indirect influence over them.  </w:t>
        <w:br/>
        <w:t xml:space="preserve">b) The behavioral commitment  </w:t>
        <w:br/>
        <w:t xml:space="preserve">201. GPG commits to not distributing decoration and bazaar products in the Fabio Lucci store located in Puy-en-Velay for a duration of […] renewable years.  </w:t>
        <w:br/>
        <w:t xml:space="preserve">202. The behavioral commitment related to the Puy-en-Velay area ensures that GPG will not distribute decoration and bazaar products in the Fabio Lucci store in the area and thus will not increase the area of this store dedicated to the distribution of such products.  </w:t>
        <w:br/>
        <w:t xml:space="preserve">203. In this area, a behavioral commitment appears more proportionate than a structural commitment. Indeed, the operation only marginally strengthens the position of the GPG group. Moreover, there will remain three direct competitors of the parties in the area. The commitment aims to prevent an increase in the area dedicated to decoration and bazaar products in the Fabio Lucci store located in Puy-en-Velay. However, such a modification of the area is currently uncertain, as the notifying party indicated that its orders for the target stores for the year 2018 were established "based on the projected turnover and the distribution among the different product ranges observed for the year 2017." The behavioral commitment thus aims to prevent a risk of area increase and not a proven structural modification induced by the operation.  </w:t>
        <w:br/>
        <w:t xml:space="preserve">204. This commitment is made for a duration of […] years, renewable once.  </w:t>
        <w:br/>
        <w:t xml:space="preserve">2. ON THE IMPLEMENTATION OF THE COMMITMENTS  </w:t>
        <w:br/>
        <w:t xml:space="preserve">205. GPG will propose to the Competition Authority the appointment of a representative, referred to as the "control representative," whose mission will be to ensure compliance with the obligations resulting from this decision.  </w:t>
        <w:br/>
        <w:t xml:space="preserve">206. Regarding the commitments related to the divestitures, GPG commits to finding a buyer for each of the affected stores and to present them for approval by the Competition Authority within […] months from the notification of this decision for the stores in Aubagne, Anthy-sur-Léman, and Poissy, and within […] months from the notification of this decision for the store in Seyne-sur-Mer. At the end of this period, a representative referred to as the "divestiture representative," who will have been previously proposed by GPG, will be tasked with selling within […] months the stores that have not been divested, and possibly the premises in the context of the Seyne-sur-Mer store.  </w:t>
        <w:br/>
        <w:t xml:space="preserve">207. Consequently, the Authority considers that the commitments proposed by the notifying party are sufficient to eliminate the competition concerns arising from the operation.  </w:t>
        <w:br/>
        <w:t xml:space="preserve">DECIDES  </w:t>
        <w:br/>
        <w:t xml:space="preserve">Sole Article: The operation notified under number 17-090 is authorized subject to the commitments described above and annexed to this decision.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