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https://www.autoritedelaconcurrence.fr/fr/decision-de-controle-des-concentrations/relative-la-prise-de-controle-exclusif-des-actifs-des</w:t>
      </w:r>
    </w:p>
    <w:p>
      <w:r>
        <w:t>Pages translated : 6</w:t>
      </w:r>
    </w:p>
    <w:p/>
    <w:p>
      <w:r>
        <w:rPr>
          <w:b/>
        </w:rPr>
        <w:t>[Pages 1–3]</w:t>
      </w:r>
    </w:p>
    <w:p>
      <w:r>
        <w:t>FRENCH REPUBLIC</w:t>
        <w:br/>
        <w:t>Decision No. 10-DCC-04 of January 14, 2010</w:t>
        <w:br/>
        <w:t>regarding the exclusive control of the assets of the companies Arige and Douprim by the company CSF (Carrefour group)</w:t>
        <w:br/>
        <w:t>The Competition Authority,</w:t>
        <w:br/>
        <w:t>Having regard to the notification file submitted in full to the merger service on December 8, 2009, regarding the control of the assets of the companies Arige and Douprim by the company CSF, a subsidiary of the Carrefour group, formalized by a memorandum of understanding signed on November 13, 2009;</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A. THE CONCERNED COMPANIES</w:t>
        <w:br/>
        <w:t>1. The Carrefour group is active in the predominantly food distribution sector. In France, it operates hypermarkets under the Carrefour and Champion brands and supermarkets under the Champion and Carrefour Market brands. It also operates convenience stores under the Shopi, 8 à huit, Marché plus, Sherpa, Proxi brands, as well as discount stores under the Ed brand. The company CSF is a subsidiary of the Carrefour group. In 2008, the Carrefour group achieved a total worldwide turnover excluding taxes of approximately 87 billion euros, of which approximately 38 billion euros in France.</w:t>
        <w:br/>
        <w:t>2. The company Arige is a simplified joint-stock company, 99% owned by the company Indis and 1% by the company Profidis, a subsidiary of the Carrefour group. The company Arige is the owner and operator of a predominantly food-based business under the Champion brand in Breteuil sur Iton (27160). It also owns 98% of the capital of SCI Notib, the owner of the premises of said store, with the remaining 2% held by the company Indis.</w:t>
      </w:r>
    </w:p>
    <w:p>
      <w:r>
        <w:t>3. The company Douprim is a simplified joint-stock company, 99% owned by the company Indis and 1% by the company Profidis, a subsidiary of the Carrefour group. The company Douprim is the owner and operator of a predominantly food-based business operated under the Champion brand in Doudeville (76650). It also owns 98% of the capital of SCI Lebourg, the owner of the premises of said store, with the remaining 2% held by the company Indis.</w:t>
        <w:br/>
        <w:t>4. In 2008, the companies Douprim and Arige achieved a total worldwide turnover excluding taxes of 26 million euros exclusively in France.</w:t>
        <w:br/>
        <w:t>5. The statutes of the companies Arige and Douprim specify that the stores in Breteuil sur Iton and Doudeville are operated under the Champion brand or any other brand of the same group. Furthermore, these statutes grant the company CSF a veto right over all extraordinary decisions, which includes, in particular, any statutory amendments. It should therefore be considered that the Carrefour group already held, prior to the operation, joint control over these companies.</w:t>
        <w:br/>
        <w:t>6. The companies Indis and CSF entered into a memorandum of understanding on November 13, 2009, which specifies that […]</w:t>
        <w:br/>
        <w:t>7. This memorandum of understanding notably provides for the establishment of management lease contracts in favor of CSF for the stores in Breteuil sur Iton and Doudeville, as well as a transfer protocol to CSF of all the shares of the companies Arige and Douprim and the shares of SCI Notib and Lebourg held by Indis. More specifically, the companies Arige and Douprim lease their businesses to the company CSF for a duration expiring no later than February 28, 2013, for the store in Breteuil sur Iton, and February 28, 2011, for the one in Doudeville. The protocol provides that the transfer of the shares of the companies Arige and Douprim will occur, at the latest, respectively on March 1, 2013, and March 1, 2011. Finally, it is specified that "this protocol will form a complex and unique operation comprising a set of contracts linked by an identity of cause and participating, as a principal or accessory, in the achievement of a common objective. It follows that the non-fulfillment of any of the provisions contained in these agreements, as well as all other contracts that constitute the complementary and indispensable support, and insofar as this provision is essential to the uniqueness of cause and objectives, will result in the nullity of this entire set of contracts."</w:t>
        <w:br/>
        <w:t>8. Thus, the management lease of the stores in Breteuil sur Iton and Doudeville and their future transfer, which aim at the same economic objective, are subject to a reciprocal conditional link provided by a legally binding agreement. These operations can therefore be assimilated to a unique concentration, realized at the time of the management lease.</w:t>
        <w:br/>
        <w:t>9. Insofar as it results in the transition from joint control to exclusive control of the Carrefour group, via the company CSF, over the assets of the companies Arige and Douprim, the notified operation constitutes a concentration within the meaning of Article L. 430-1 of the Commercial Code. Given the turnover of the concerned companies,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II. Delimitation of Relevant Markets</w:t>
        <w:br/>
        <w:t>10. According to the consistent practice of national and community competition authorities1, two categories of markets can be delineated2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br/>
        <w:t>A. DOWNSTREAM DISTRIBUTION MARKETS</w:t>
        <w:br/>
        <w:t>1. SERVICE MARKETS</w:t>
        <w:br/>
        <w:t>11. Regarding the retail sale of everyday consumer goods, competition authorities, both community and national3,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large discount stores, (vi) mail order sales.</w:t>
        <w:br/>
        <w:t>12. Hypermarkets are usually defined as stores with a predominant food focus with a sales area equal to or greater than 2,500 m2. Supermarkets, on the other hand, are usually defined as having a sales area of less than 2,500 m2 and greater than 400 m2. However, it should be noted that these thresholds should be used with caution and may be adapted to the specific case, considering that stores whose area is close to a threshold, whether below or above, may be in direct competition in practice4.</w:t>
        <w:br/>
        <w:t>13. In this case, the store in Breteuil sur Iton currently occupies a sales area of 2,900 m2 and therefore falls into the category of hypermarkets, while the one in Doudeville currently occupies a sales area of 1,500 m2 and therefore falls into the category of supermarkets.</w:t>
        <w:br/>
        <w:t>1 See in particular the decisions of the commission M.946 Intermarché/Spar of June 30, 1997, M.991 Promodès/Casino of October 30, 1997, and M.1684 Carrefour/Promodès of January 25, 2000. See also the ministerial decree of July 5, 2000, in the Carrefour/Promodès operation and the opinions of the Competition Council No. 97-A-14 of July 1, 1997, in the Carrefour/Cora case, No. 98-A-06 of May 5, 1998, in the Casino Franprix/Leader Price case, and No. 00-A-06 of May 3, 2000, in the Carrefour/Promodès case.</w:t>
        <w:br/>
        <w:t>2 Decisions of the Commission in the cases M.1221 Rewe/Meinl of February 3, 1999, M.1684 Carrefour/Promodès of January 25, 2000, and M.2115 Carrefour/GB of September 28, 2000. See also the decision C.2005-98 Carrefour/Penny Market of November 10, 2005.</w:t>
        <w:br/>
        <w:t>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w:t>
        <w:br/>
        <w:t>4 See in particular opinion No. 00-A-06 of the Council of May 3, 2000, regarding the acquisition by the company Carrefour of the company Promodès.</w:t>
      </w:r>
    </w:p>
    <w:p>
      <w:r>
        <w:rPr>
          <w:b/>
        </w:rPr>
        <w:t>[Pages 4–6]</w:t>
      </w:r>
    </w:p>
    <w:p>
      <w:r>
        <w:t>2. GEOGRAPHICAL DELIMITATION</w:t>
        <w:br/>
        <w:t>14. In its recent decisions5 related to operations concerning hypermarkets or supermarkets, the Competition Authority has reiterated that two types of markets are usually distinguished, based on catchment areas:</w:t>
        <w:br/>
        <w:t>- a first market where the demand of consumers from an area meets the supply of hypermarkets accessible to them within less than 30 minutes by car and which are, from their perspective, substitutable with each other;</w:t>
        <w:br/>
        <w:t>- a second area where the demand of consumers meets the supply of supermarkets and other equivalent forms of commerce, located within less than 15 minutes by car. These latter forms of commerce may include, in addition to supermarkets, hypermarkets and discount stores.</w:t>
        <w:br/>
        <w:t>15. Other criteria may nevertheless be taken into account to assess the impact of a concentration on the competitive situation in retail distribution markets, which may lead to refining, in the specific case, the usual delimitations presented above.</w:t>
        <w:br/>
        <w:t>16. In the specific case, concerning the hypermarket in Breteuil sur Iton, the acquirer is not present in the first market. The competitive analysis will focus solely on the second market including all hypermarkets, supermarkets, and maxi-discount stores located within a 15-minute catchment area around Breteuil sur Iton, that is to say, all stores located in the municipalities of Breteuil sur Iton, Verneuil sur Avre, Bois Arnault, Damville, and Conches en Ouche.</w:t>
        <w:br/>
        <w:t>17. Regarding the supermarket in Doudeville, the acquirer is not present in a catchment area of 15 minutes by car around Doudeville. Consequently, the operation will not be subject to a competitive analysis for this supermarket.</w:t>
        <w:br/>
        <w:t>B. UPSTREAM SUPPLY MARKETS</w:t>
        <w:br/>
        <w:t>18. Concerning supply markets, the European Commission6 has recognized the existence of markets of national dimension by major product groups, a delimitation followed by national authorities7.</w:t>
        <w:br/>
        <w:t>19. There is no need to challenge this delimitation in the context of the present operation.</w:t>
        <w:br/>
        <w:t>5 Decisions 09-DCC-24 of July 23, 2009 Floritine/C.S.F; 09-DCC- of May 28, 2009 Frandis/Financière Perdis; 09-DCC-06 of May 20, 2009 Evolis/ITM; 09-DCC-04 of April 29, 2009 Carrefour/Noukat,</w:t>
        <w:br/>
        <w:t>6 See the Commission decisions M.1684 Carrefour/Promodès of January 25, 2000 and M. 2115 Carrefour/GB of September 28, 2000.</w:t>
        <w:br/>
        <w:t>7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w:t>
      </w:r>
    </w:p>
    <w:p>
      <w:r>
        <w:t>III. Competitive Analysis</w:t>
        <w:br/>
        <w:t>1. DOWNSTREAM MARKETS OF FOOD DISTRIBUTION</w:t>
        <w:br/>
        <w:t>20. In the downstream market of food distribution including hypermarkets, supermarkets, and maxi-discount stores within a 15-minute catchment area around Breteuil sur Iton, there are 4 stores under the brands of the Carrefour group, the Champion in Breteuil sur Iton which is the subject of the present operation (with a sales area of 2,900 m2), and three Carrefour Market in Verneuil sur Avre (1,885 m2 of sales area), Conches en Ouche (1,857 m2), and Damville (1,430 m2), representing 46% market share. In the area, the Intermarché brand is also present, with 3 stores and 37% market share, as well as two Lidl stores (9% market share), one Aldi store (5% market share), and one Le Mutant store (4%).</w:t>
        <w:br/>
        <w:t>21. The brands of the Carrefour group therefore hold a high market share in the area. However, the present operation does not change the distribution of market shares among the brands, since the store concerned was already operated, prior to the operation, under the Champion brand, with the Carrefour group holding joint control.</w:t>
        <w:br/>
        <w:t>22. Consequently, the operation is not likely to harm competition in the market considered.</w:t>
        <w:br/>
        <w:t>2. UPSTREAM SUPPLY MARKETS</w:t>
        <w:br/>
        <w:t>23. Regarding upstream supply markets, the operation, limited to two stores, is not likely to significantly strengthen the purchasing power of the Carrefour group, across all products or by major product groups. The strengthening is even more minor since, prior to the operation, the two stores subject to the operation were already primarily supplied by the Carrefour group.</w:t>
        <w:br/>
        <w:t>IV. Ancillary Restrictions</w:t>
        <w:br/>
        <w:t>24. Furthermore, the transfer agreement includes a restriction prohibiting the sellers, directly or indirectly or through an intermediary or even as employees, from engaging in a competing activity in the general food trade of the supermarket, hard discount, or catering type (grocery, dairy, fruits and vegetables, frozen foods, butchery, delicatessen, bakery, retail sale of wine, alcohol, or spirits) for a duration of [ &gt; 3 years], from the date of the transfer of the shares, and within a radius of […]. As the European Commission recalls in its communication regarding restrictions directly related and necessary to the realization of concentration operations of March 5, 2005, “such non-compete clauses are, however, justified by the legitimate objective of achieving the concentration only to the extent that their duration, territorial scope, and material and personal scope do not exceed what is reasonably necessary for this purpose.” In this case, the non-compete clause provided in the transfer agreement constitutes a restriction directly related and necessary to the present operation only within the limit of a duration of 3 years.</w:t>
        <w:br/>
        <w:t>DECIDES</w:t>
        <w:br/>
        <w:t>Sole Article: the operation notified under number 09-0134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