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https://www.autoritedelaconcurrence.fr/fr/decision-de-controle-des-concentrations/relative-la-prise-de-controle-exclusif-des-actifs-du-groupe</w:t>
      </w:r>
    </w:p>
    <w:p>
      <w:r>
        <w:t>Pages translated : 17</w:t>
      </w:r>
    </w:p>
    <w:p/>
    <w:p>
      <w:r>
        <w:rPr>
          <w:b/>
        </w:rPr>
        <w:t>[Pages 1–3]</w:t>
      </w:r>
    </w:p>
    <w:p>
      <w:r>
        <w:t>FRENCH REPUBLIC</w:t>
        <w:br/>
        <w:t>Decision No. 21-DCC-69 of April 20, 2021</w:t>
        <w:br/>
        <w:t>regarding the exclusive control of the assets of the Arcadie Sud-Ouest group by the Bigard group</w:t>
        <w:br/>
        <w:t>The Competition Authority,</w:t>
        <w:br/>
        <w:t>Having regard to the notification file sent to the merger service on August 20, 2020, and declared complete on December 4, 2020, regarding the acquisition of assets of the Arcadie Sud-Ouest group by the Bigard group, formalized by the takeover bids dated August 5, 2020, last modified on August 21, 2020, and the judgment of the Commercial Court of Montpellier dated September 4, 2020;</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r>
    </w:p>
    <w:p>
      <w:r>
        <w:t>Summary1</w:t>
        <w:br/>
        <w:t>By means of the decision below, the Authority has conducted an analysis of the exclusive control of certain assets of the Arcadie group by the Bigard group.</w:t>
        <w:br/>
        <w:t>The Bigard group is active in the markets of slaughtering, cutting, and processing of butcher's meat. It is also active in the manufacturing of fresh and frozen prepared products and operates a catering business. The target consists of five sites of the Arcadie Sud-Ouest group located respectively in Anglet, Auch, Gramat, Mont-de-Marsan, and Tarbes.</w:t>
        <w:br/>
        <w:t>The parties are both active in the market for the first and second processing of cattle, sheep, and pigs. In particular, the parties are involved in handling beef and sheep meat with official signs of quality and origin (SIQO), although they are not active on the same SIQO. The Bigard group is also active in the markets of the third and fourth processing of these same meats.</w:t>
        <w:br/>
        <w:t>At the end of its analysis, the Authority ruled out any risk of horizontal competition harm, given the limited market shares of the new entity or the low addition of market shares resulting from the operation. Indeed, the market share of the new entity will exceed 25% in a limited number of markets. For the collection of sheep SIQO, the weight of the parties in the collection markets and in the sale of carcasses remains limited (less than 30% market share) and they face numerous competitors. For the sale of fresh veal SIQO meat intended for large retail chains, the market share of the new entity is 55% with an addition related to the operation that remains limited (only 2%). Furthermore, it appeared during the investigation that the majority of the acquirer's activity in this market results from a partnership concluded between the Bigard group and a large retail brand, which does not confer any guarantee of activity to the new entity and can be renegotiated each year. Given all these elements, the Authority also ruled out any risk of vertical harm resulting from the simultaneous presence of the parties in the markets of the first and second processing of meat.</w:t>
        <w:br/>
        <w:t>The Authority also ruled out any risk of vertical harm between the markets of the second processing of meat on the one hand, and those of the third and fourth processing on the other hand, on which only the Bigard group is active. The Authority particularly considered that there is no risk of customer lock-in, despite the acquirer's weight in certain downstream markets, as it faces competition from operators that are themselves vertically integrated downstream, thus having guaranteed outlets.</w:t>
        <w:br/>
        <w:t>Moreover, the Authority noted that the strengthening of the vertical integration of the new entity allows for the elimination of this type of risk since Bigard already prioritizes internal sourcing before the operation and the target itself is not active in the markets of the third and fourth processing.</w:t>
        <w:br/>
        <w:t>The exclusive control of certain assets of Arcadie by the Bigard group has therefore been authorized unconditionally.</w:t>
        <w:br/>
        <w:t>1 This summary is purely informative. Only the numbered reasons below are authoritative.</w:t>
      </w:r>
    </w:p>
    <w:p>
      <w:r>
        <w:t>I. The Companies Involved and the Transaction</w:t>
        <w:br/>
        <w:t>1. The company Financière Bigard is the parent company of the Bigard group and is owned by the Bigard family. The Bigard group is active in the markets of slaughtering, cutting, and processing of butcher's meat. It is also active in the manufacturing of fresh and frozen prepared products and operates a catering business.</w:t>
        <w:br/>
        <w:t>2. The target consists of five sites of the Arcadie Sud-Ouest group located respectively in Anglet, Auch, Gramat, Mont-de-Marsan, and Tarbes.</w:t>
        <w:br/>
        <w:t>3. The transaction, formalized by the takeover bids submitted by the Bigard group on August 5, 2020, last modified on August 21, 2021, and the judgment of the Commercial Court of Montpellier dated September 4, 2020, consists of the acquisition by the Bigard group of five sites of the Arcadie Sud-Ouest group. Insofar as it results in the exclusive control of the target assets by the Bigard group, the notified operation constitutes a concentration within the meaning of Article L.430-1 of the Commercial Code.</w:t>
        <w:br/>
        <w:t>4. The companies involved together generate a total worldwide turnover excluding taxes of more than 150 million euros (Bigard group: [&gt;150 million] euros for the fiscal year ending December 31, 2019; target assets: […] million euros for the fiscal year ending March 31, 2020). Each of these companies has generated in France a turnover exceeding 50 million euros (Bigard group: [&gt;50 million] euros for the fiscal year ending December 31, 2019; target assets: [&gt;50] million euros for the fiscal year ending March 31, 2020).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parties are simultaneously active in the markets of the first and second processing of meat. The Bigard group is also active in the markets of the third and fourth processing of meat. Decision-making practice2 has segmented the different stages of meat processing, which correspond to the treatment cycle of animals and their meat. The first processing corresponds to the collection for the slaughter of the animal, after which the carcasses and by-products are obtained and sold (A). The second processing includes the deboning and cutting of carcasses (B). The third processing consists of packaging ready-to-cook meat for the final consumer (C). Finally, the fourth processing corresponds to the manufacturing of processed meat products (D).</w:t>
        <w:br/>
        <w:t>2 See notably letter C2008-100 from the Minister of Economy, Industry and Employment dated February 17, 2009, to the board of the Bigard company regarding a concentration in the meat sector and the decisions of the Competition Authority No. 16-DCC-178 of November 15, 2016, regarding the exclusive control of the companies Dufour Sisteron, Ovimpex, and Ovimpex Distribution by the cooperative Arterris and No. 17-DCC-210 of December 13, 2017, regarding the merger by absorption of the Cooperative of Farmers of Mayenne by the agricultural cooperative Terrena.</w:t>
      </w:r>
    </w:p>
    <w:p>
      <w:r>
        <w:rPr>
          <w:b/>
        </w:rPr>
        <w:t>[Pages 4–6]</w:t>
      </w:r>
    </w:p>
    <w:p>
      <w:r>
        <w:t>A. THE FIRST PROCESSING</w:t>
        <w:br/>
        <w:t>6. The first processing activities of the parties overlap in the markets for the collection of live animals for slaughter (1) and the markets for the marketing of carcasses (2) and by-products (3).</w:t>
        <w:br/>
        <w:t>1. THE COLLECTION OF LIVE ANIMALS FOR SLAUGHTER</w:t>
        <w:br/>
        <w:t>a) Product Markets</w:t>
        <w:br/>
        <w:t>7. Consistently, national and European competition authorities3 consider that in the meat sector, there are as many distinct markets as there are species of animals slaughtered. Indeed, to take into account the sizes and weights of animals that vary from one species to another, slaughterhouses are generally equipped with specific equipment for each type of animal. Furthermore, for certain species, a sub-segmentation has been considered based on the presence of a quality sign4, taking into account the specifications applicable to slaughterhouses. A market for sheep under the label "Agneau de Sisteron" has thus recently been considered5.</w:t>
        <w:br/>
        <w:t>8. In the present case, the parties are simultaneously active in the collection of cattle, sheep, and pigs.</w:t>
        <w:br/>
        <w:t>Cattle</w:t>
        <w:br/>
        <w:t>9. National decision-making practice6 first distinguished the collection of calves from that of other cattle. Within the category of other cattle, decision-making practice subsequently segmented between "young cattle," uncastrated male animals under two years old, and "heavy cattle," taking into account differences related to their purchase price, quality, and the final destination of their meat. Moreover, heavy cattle are classified into five categories according to their conformation. These are categories E, U, R, O, and P. The conformations O and P mainly include livestock from the dairy herd7, while the conformations E, U, and R mainly include beef cattle. Decision-making practice has thus operated a sub-segmentation according to the conformation of the animal, due to differences in price, use, and the final destination of the meat of dairy cattle on the one hand, and beef cattle on the other hand. There is no need to challenge these definitions in the present decision.</w:t>
        <w:br/>
        <w:t>10. Regarding quality signs for beef cattle, the Authority distinguished cattle under the controlled designation of origin "Bœuf de Charolles" from other official signs of quality and origin identification (red label "charolaise beef," "organic farming," protected geographical indication, and guaranteed traditional specialty).</w:t>
        <w:br/>
        <w:t>11. In this case, both parties are active in the collection of cattle under an official sign of quality and origin but are not simultaneously active in the collection of cattle under any of these signs. A general market for the collection of cattle with official signs of quality and origin (hereinafter, "SIQO"), particularly for SIQO calves, can nevertheless be considered.</w:t>
        <w:br/>
        <w:t>12. In this case, there is no need to rule on the exact delineation of the markets, the conclusions of the competitive analysis.</w:t>
        <w:br/>
        <w:t>Sheep</w:t>
        <w:br/>
        <w:t>13. Regarding the collection of sheep, decision-making practice has considered a distinction between the collection of sheep and the collection of lambs8. The Authority's practice has already retained an additional segmentation between standard lambs and lambs under the label "Agneau de Sisteron." The target is active in the collection of lambs under the labels "Agneau des Pyrénées" and "Agneau du Quercy." However, since the acquirer is not active in the collection of these labels, the question of the existence of a specific market for each of these two labels may remain open.</w:t>
        <w:br/>
        <w:t>14. In the present decision, the analysis will be conducted on a global market for lambs under label.</w:t>
        <w:br/>
        <w:t>Pigs</w:t>
        <w:br/>
        <w:t>15. Regarding pigs, competition authorities have considered a segmentation between pigs and sows9. Indeed, sows are heavier than pigs, which implies the use of different slaughter chains, and their meat is mainly used for the production of processed products. There is no need to challenge these definitions in the present decision.</w:t>
        <w:br/>
        <w:t>b) Geographic Markets</w:t>
        <w:br/>
        <w:t>Cattle</w:t>
        <w:br/>
        <w:t>16. Decision-making practice considers that the markets for the collection of cattle for slaughter have a local dimension due to specific constraints on long-distance transport and considerations related to quality. Farmers tend to prefer selling their livestock to slaughterhouses located near their breeding sites, and slaughterhouses source the majority of their supply within a radius of 100 to 150 kilometers around their location, with the origin of the remainder depending on availability, seasons, and commercial opportunities. Given the existence of supply basins that are more or less wide depending on the size of the slaughterhouse, the competitive analysis is conducted on collection areas of 100 to 150 kilometers around the slaughterhouses, representing approximately 80% of the supply, and up to 300 kilometers to account for the remaining supply10. There is no need to challenge these definitions in the present decision.</w:t>
        <w:br/>
        <w:t>17. In this case, among the five target sites, only the site in Anglet is active in the markets for the collection of cattle for slaughter. Regarding heavy cattle, the acquirer has no active slaughterhouse within a radius of 300 km. However, the Bigard group has an active slaughterhouse for the collection of calves for slaughter in Caussade, located less than 300 km from Anglet.</w:t>
        <w:br/>
        <w:t>8 See in particular the decision of the European Commission IV/M.1313 cited above and the decision of the Competition Authority n° 16-DCC-178 cited above.</w:t>
        <w:br/>
        <w:t>9 Decisions of the Competition Authority n° 18-DCC-94 of June 12, 2018, regarding the merger by absorption of the agricultural cooperative Prestor by the agricultural cooperative Aveltis and n° 15-DCC-144 of October 23, 2015, regarding the merger by absorption of the agricultural cooperative for pigs of Manche by the agricultural cooperative of Mayenne.</w:t>
        <w:br/>
        <w:t>10 See the letter C2008-100 cited above, as well as decisions n° 16-DCC-178 and n° 19-DCC-122 cited above.</w:t>
        <w:br/>
        <w:t>5</w:t>
      </w:r>
    </w:p>
    <w:p>
      <w:r>
        <w:t>18. The activities of the parties therefore only overlap in the market for the collection of calves for slaughter.</w:t>
        <w:br/>
        <w:t>Sheep</w:t>
        <w:br/>
        <w:t>19. Regarding the collection of sheep, it has been considered that the relevant geographic market could be local or national11, without specifying the exact size of the local market.</w:t>
        <w:br/>
        <w:t>20. Decision-making practice considers that the actual behavior of collection operators in a given area can be specified with data gathered on the actual location of the collected lambs. In distribution markets, it is generally considered that the catchment area of a point of sale can be limited to that which includes customers representing 80% of the sales of the point of sale or 80% of the customers of the point of sale, depending on the available data. The remainder is considered as occasional and non-significant clientele12. This method, known as the actual footprints method, can be used to determine the catchment areas of slaughterhouses.</w:t>
        <w:br/>
        <w:t>21. In this case, among the five target sites, only the sites in Anglet and Gramat are active in the markets for the collection of sheep for slaughter. The acquirer has a slaughterhouse for sheep in Castres.</w:t>
        <w:br/>
        <w:t>22. The notifying party has determined the catchment area of these different sites using the actual footprints method. There is no overlap of activity between the slaughterhouse in Castres and that in Anglet. However, there is indeed an overlap between the actual footprints of the slaughterhouse in Castres and that in Gramat for standard sheep only.</w:t>
        <w:br/>
        <w:t>23. Consequently, the activities of the parties overlap in these markets at the local and national level.</w:t>
        <w:br/>
        <w:t>Pigs</w:t>
        <w:br/>
        <w:t>24. Competition authorities consider that the market for the collection of pigs for slaughter has a local dimension, corresponding to an area of 120 to 200 kilometers around the slaughterhouses13. There is no need to challenge these definitions in the present decision.</w:t>
        <w:br/>
        <w:t>25. In this case, among the five target sites, only the site in Anglet is active in the markets for the collection of pigs for slaughter. The Bigard group does not operate any active slaughterhouse for the collection of pigs for slaughter within a radius of less than 200 km.</w:t>
        <w:br/>
        <w:t>26. Consequently, the activities of the parties do not overlap in the markets for the collection of pigs for slaughter.</w:t>
        <w:br/>
        <w:t>2. CARCASSES OF MEAT FROM THE FIRST PROCESSING</w:t>
        <w:br/>
        <w:t>a) Product Markets</w:t>
        <w:br/>
        <w:t>27. According to decision-making practice14, the markets for carcasses of meat from the first processing are segmented according to the type of animal.</w:t>
      </w:r>
    </w:p>
    <w:p>
      <w:r>
        <w:rPr>
          <w:b/>
        </w:rPr>
        <w:t>[Pages 7–9]</w:t>
      </w:r>
    </w:p>
    <w:p>
      <w:r>
        <w:t xml:space="preserve">28. In the present case, the parties are simultaneously active in the field of cattle, sheep, and pig carcasses.  </w:t>
        <w:br/>
        <w:t xml:space="preserve">29. Regarding cattle carcasses, decision-making practice15 has considered that this market could be segmented in the same way as that of cattle collection for slaughter.  </w:t>
        <w:br/>
        <w:t xml:space="preserve">30. For the purposes of the present operation, a potential segment of beef meat under official signs of quality and origin identification has also been studied. However, there is no need to rule on the relevance of this segmentation, insofar as the conclusions of the competitive analysis remain unchanged, regardless of the segmentation considered.  </w:t>
        <w:br/>
        <w:t xml:space="preserve">31. For sheep, three categories of animals have been distinguished: standard lambs, label lambs (red labels, controlled designations of origin, protected geographical indications, etc.), and sheep16. There is no need to rule on the relevance of this additional segmentation, as, regardless of the hypothesis retained, the conclusions of the competitive analysis will remain unchanged.  </w:t>
        <w:br/>
        <w:t xml:space="preserve">32. Regarding pig carcasses, decision-making practice has not segmented according to the category of animal.  </w:t>
        <w:br/>
        <w:t xml:space="preserve">33. Finally, for all the species mentioned above, decision-making practice17 has considered that each distribution channel used for the marketing of cattle or pig carcasses resulting from the first transformation (large and medium-sized stores, hereinafter "GMS", out-of-home catering, hereinafter "RHD", agri-food industries, hereinafter "IAA", and butchers-charcutiers-artisans, hereinafter "BCA") constitutes a distinct market due to the existence of different needs depending on the type of buyers, particularly in terms of volumes, sizing, and packaging. There is no need to challenge this segmentation in the present decision.  </w:t>
        <w:br/>
        <w:t xml:space="preserve">b) Geographic Markets  </w:t>
        <w:br/>
        <w:t xml:space="preserve">34. Decision-making practice has considered that the markets for carcasses of meat resulting from the first transformation are of national dimension18.  </w:t>
        <w:br/>
        <w:t xml:space="preserve">35. In this case, the parties are simultaneously active in these different markets.  </w:t>
        <w:br/>
        <w:t xml:space="preserve">3. BY-PRODUCTS OF SLAUGHTER  </w:t>
        <w:br/>
        <w:t xml:space="preserve">a) Product Markets  </w:t>
        <w:br/>
        <w:t xml:space="preserve">36. National and European competition authorities19 have segmented the market for by-products into by-products of slaughter unfit for human consumption, themselves segmented by type of by-products, and by-products of slaughter fit for human and animal consumption as well as for pharmaceutical uses, themselves segmented by animal species and by distribution channel. Furthermore, decision-making practice20 has noted the existence of a market for hides and skins that can be segmented by animal species. There is no need to challenge these definitions in the present decision.  </w:t>
        <w:br/>
        <w:t xml:space="preserve">37. In this case, the parties are simultaneously active in all of these markets for cattle, sheep, and pigs.  </w:t>
        <w:br/>
        <w:t xml:space="preserve">b) Geographic Markets  </w:t>
        <w:br/>
        <w:t xml:space="preserve">38. Decision-making practice has considered that the markets for slaughter by-products are of national dimension21.  </w:t>
        <w:br/>
        <w:t xml:space="preserve">B. THE SECOND TRANSFORMATION  </w:t>
        <w:br/>
        <w:t xml:space="preserve">a) Product Market  </w:t>
        <w:br/>
        <w:t xml:space="preserve">39. The "meats resulting from the second transformation" correspond to meats that are cut and/or deboned, often vacuum-packed for better preservation, and sold through various distribution channels to customers who carry out further processing of this merchandise for presentation for sale (cutting, processing into minced meat, etc.). Within this market, decision-making practice22 operates a segmentation according to animal species.  </w:t>
        <w:br/>
        <w:t xml:space="preserve">40. In the present case, the parties simultaneously market meats from cattle, sheep, and pigs resulting from the second transformation.  </w:t>
        <w:br/>
        <w:t xml:space="preserve">41. Regarding beef, decision-making practice23 has distinguished between meat sold in the form of muscle and that sold in the form of trim. The muscle indeed comes from the same animal and is generally intended for the manufacture of meat cuts bearing different designations depending on the muscle concerned (flank, chuck, etc.), while the trim, which constitutes the raw material for minced meat, is composed of a collection of various muscles and is often the result of mixing meats from different animals.  </w:t>
        <w:br/>
        <w:t xml:space="preserve">42. For the purposes of the present operation, a potential segment of beef meat under official signs of quality and origin identification has also been studied.  </w:t>
        <w:br/>
        <w:t xml:space="preserve">43. Regarding sheep meat, the parties have proposed to segment this market in the same way as that of carcasses resulting from the first transformation, distinguishing between standard lambs, label lambs, and sheep. However, there is no need to rule on the relevance of this additional segmentation, as, regardless of the hypothesis retained, the conclusions of the competitive analysis will remain unchanged.  </w:t>
        <w:br/>
        <w:t xml:space="preserve">44. Regarding pig meat, decision-making practice24 has considered making the markets of the second and third transformation (see below) a single market, while leaving the question open.  </w:t>
        <w:br/>
        <w:t xml:space="preserve">45. Finally, like the markets of the first transformation, the markets of the second transformation have been segmented according to the distribution channel, regardless of the meat considered: GMS, BCA, IAA, and RHD25.  </w:t>
        <w:br/>
        <w:t xml:space="preserve">46. In this case, it is not necessary to rule on the exact delineation of these markets, as the conclusions of the competitive analysis remain unchanged regardless of the delineation retained.  </w:t>
        <w:br/>
        <w:t xml:space="preserve">b) Geographic Markets  </w:t>
        <w:br/>
        <w:t xml:space="preserve">47. Decision-making practice26 has analyzed the markets of the second transformation at the national level regardless of the meat considered. However, it has noted, for pig meat, the trend towards increasing transnational trade flows, which would suggest a geographical dimension broader than national27.  </w:t>
        <w:br/>
        <w:t xml:space="preserve">48. However, the question of the geographical dimension of these markets may remain open, as the conclusions of the competitive analysis remain unchanged regardless of the delineation retained.  </w:t>
        <w:br/>
        <w:t xml:space="preserve">C. THE THIRD TRANSFORMATION  </w:t>
        <w:br/>
        <w:t xml:space="preserve">a) Product Markets  </w:t>
        <w:br/>
        <w:t xml:space="preserve">49. The "meats resulting from the third transformation" correspond to ready-to-cook meats, packaged in the form of Industrial Consumer Sales Units (hereinafter, "UVCI") and directly presentable for sale. The markets for meat resulting from the third transformation are segmented according to species and distribution channel28.  </w:t>
        <w:br/>
        <w:t xml:space="preserve">50. In the present case, the acquirer markets meats from cattle, sheep, and pigs resulting from the third transformation.  </w:t>
        <w:br/>
        <w:t xml:space="preserve">51. Regarding beef sold under UVCI, decision-making practice has considered that minced steaks constitute a particular category of products, given their predominant place in total beef sales. Furthermore, it has made a distinction between fresh minced steaks and frozen minced steaks, due to the existence of differences in price, sanitary production constraints, and preservation methods between these two types of products29.  </w:t>
        <w:br/>
        <w:t xml:space="preserve">52. Regarding sheep meat, similar to what has been proposed by the parties regarding the market of the second transformation, a distinction between standard lambs, label lambs, and sheep could be considered. However, there is no need to rule on the relevance of this segmentation, as, regardless of the hypothesis retained, the conclusions of the competitive analysis will remain unchanged.  </w:t>
        <w:br/>
        <w:t>53. Regarding pig meat, decision-making practice30 has considered a market for fresh meat grouping the second and third transformations, while leaving the question of this delineation open.</w:t>
      </w:r>
    </w:p>
    <w:p>
      <w:r>
        <w:rPr>
          <w:b/>
        </w:rPr>
        <w:t>[Pages 10–12]</w:t>
      </w:r>
    </w:p>
    <w:p>
      <w:r>
        <w:t>54. Finally, regarding sales to large retail chains and regardless of the type of meat considered, decision-making practice has contemplated a segmentation based on product positioning (manufacturer brand or "MDF", distributor brand or "MDD", hard discount brand or "MHD", and low-cost brand or "MPP")31.</w:t>
      </w:r>
    </w:p>
    <w:p>
      <w:r>
        <w:t>55. In this case, it is not necessary to rule on the exact delineation of these markets, as the conclusions of the competitive analysis remain unchanged regardless of the delineation adopted.</w:t>
      </w:r>
    </w:p>
    <w:p>
      <w:r>
        <w:t>56. The Bigard group is solely present in the markets of the third transformation32.</w:t>
      </w:r>
    </w:p>
    <w:p>
      <w:r>
        <w:t>b) Geographic Markets</w:t>
      </w:r>
    </w:p>
    <w:p>
      <w:r>
        <w:t>57. Decision-making practice has determined that the markets of the third transformation have a national dimension. However, it has not excluded that the market for frozen minced meat could be of supranational dimension33.</w:t>
      </w:r>
    </w:p>
    <w:p>
      <w:r>
        <w:t>58. In this case, the question of the geographical dimension of these markets may remain open, as the conclusions of the competitive analysis remain unchanged regardless of the delineation adopted. The analysis will be conducted at the national level.</w:t>
      </w:r>
    </w:p>
    <w:p>
      <w:r>
        <w:t>D. THE FOURTH TRANSFORMATION</w:t>
      </w:r>
    </w:p>
    <w:p>
      <w:r>
        <w:t>a) Product Markets</w:t>
      </w:r>
    </w:p>
    <w:p>
      <w:r>
        <w:t>59. The fourth transformation corresponds to processed products based on meat. The European Commission34 has defined these products as raw, dried, smoked, or cooked meats from mammals or birds, containing ingredients such as salt or spices. This definition has been adopted by the Competition Authority35.</w:t>
      </w:r>
    </w:p>
    <w:p>
      <w:r>
        <w:t>60. National competition authorities have more specifically analyzed the markets for charcuterie36, which mainly concern pork meat. For these markets, decision-making practice has segmented based on the family to which the product belongs and the distribution channel (large retail chains, food processing industry, and catering). For large retail chains, a sub-segmentation has been considered based on the mode of distribution (self-service or cut-to-order) and product positioning37.</w:t>
      </w:r>
    </w:p>
    <w:p>
      <w:r>
        <w:t>61. Regarding segmentation by product family, INSEE, the Ministry of Agriculture, and the French Federation of Charcuterie, Caterers, and Meat Processors (FICT) use a classification that distinguishes twenty-three product families grouped according to their mode of preparation (raw or cooked), the technology used (salting, drying, smoking, cooking, canning, freezing), and the type of meat used (pork, poultry, beef, game, etc.). The relevance of this segmentation into twenty-three product families has, to date, not been challenged, as the operations examined do not pose competition problems even at this very fine level of segmentation38.</w:t>
      </w:r>
    </w:p>
    <w:p>
      <w:r>
        <w:t>62. Regarding segmentation, for large retail chains, according to product positioning39, between, on the one hand, manufacturer brands ("MDF") and, on the other hand, distributor brands ("MDD"), low-cost brands ("MPP"), and hard discount brands ("MHD") (hereinafter collectively referred to as "MDD"), European and national decision-making practice has questioned its relevance for the pork charcuterie markets, while leaving the question open40.</w:t>
      </w:r>
    </w:p>
    <w:p>
      <w:r>
        <w:t>63. There is no need to challenge these definitions in the present decision. The Bigard group is solely present in the markets of the fourth transformation.</w:t>
      </w:r>
    </w:p>
    <w:p>
      <w:r>
        <w:t>b) Geographic Markets</w:t>
      </w:r>
    </w:p>
    <w:p>
      <w:r>
        <w:t>64. National and European competition authorities have retained a national dimension for the markets of the fourth transformation.</w:t>
      </w:r>
    </w:p>
    <w:p>
      <w:r>
        <w:t>65. There is no need to challenge the national dimension of the markets concerned in the context of the present operation.</w:t>
      </w:r>
    </w:p>
    <w:p>
      <w:r>
        <w:t>III. Competitive Analysis</w:t>
      </w:r>
    </w:p>
    <w:p>
      <w:r>
        <w:t>66. The operation has horizontal effects (A) insofar as the Bigard group and the target are simultaneously active in the markets of the first and second transformation, but also vertical effects (B), as the acquirer is also present in the markets of the third and fourth transformation.</w:t>
      </w:r>
    </w:p>
    <w:p>
      <w:r>
        <w:t>A. HORIZONTAL EFFECTS</w:t>
      </w:r>
    </w:p>
    <w:p>
      <w:r>
        <w:t>1. THE FIRST TRANSFORMATION</w:t>
      </w:r>
    </w:p>
    <w:p>
      <w:r>
        <w:t>67. The first transformation activities of the parties overlap in the markets for the collection of live animals for slaughter (1) and the markets for the marketing of carcasses (2) and slaughter by-products (3).</w:t>
      </w:r>
    </w:p>
    <w:p>
      <w:r>
        <w:t>a) The Collection of Live Animals for Slaughter</w:t>
      </w:r>
    </w:p>
    <w:p>
      <w:r>
        <w:t>68. Given the geographical delineation of the different markets, the parties' activities only overlap in the collection of calves for slaughter (a) and in the collection of sheep for slaughter (b).</w:t>
      </w:r>
    </w:p>
    <w:p>
      <w:r>
        <w:t>The Collection of Calves</w:t>
      </w:r>
    </w:p>
    <w:p>
      <w:r>
        <w:t>69. The target is only active in the market for the collection of calves for slaughter at the site in Anglet. The overlap occurs with the notifying party's slaughterhouse located in Caussade.</w:t>
      </w:r>
    </w:p>
    <w:p>
      <w:r>
        <w:t>70. In this area, the parties will have a market share of less than 25% in the market for the collection of calves for slaughter, regardless of the segmentation adopted.</w:t>
      </w:r>
    </w:p>
    <w:p>
      <w:r>
        <w:t>71. Consequently, the operation is not likely to harm competition in the markets for the collection of calves for slaughter in the Anglet area.</w:t>
      </w:r>
    </w:p>
    <w:p>
      <w:r>
        <w:t>The Collection of Sheep</w:t>
      </w:r>
    </w:p>
    <w:p>
      <w:r>
        <w:t>72. It appears from the actual footprints of the parties' slaughterhouses provided by the parties that there is an overlap of activity between the acquirer's slaughterhouse located in Castres and that of the target located in Gramat, concerning only standard sheep. Furthermore, decision-making practice has not excluded that the geographical dimension of these markets may be national.</w:t>
      </w:r>
    </w:p>
    <w:p>
      <w:r>
        <w:t>73. At the local level, the actual footprint of the target's slaughterhouse located in Gramat covers the departments of Lot, Aveyron, and Tarn. In an area covering these three departments, the market share of the new entity following the operation will be less than 25% regarding the collection of standard sheep for slaughter.</w:t>
      </w:r>
    </w:p>
    <w:p>
      <w:r>
        <w:t>74. Furthermore, in this area, the new entity will face competition from several operators, including the Ovimpex, Ruthème Viandes, and Sodem groups.</w:t>
      </w:r>
    </w:p>
    <w:p>
      <w:r>
        <w:t>75. At the national level, the market share of the new entity will remain below 25% regardless of the segmentation considered, except in the overall market for the collection of SIQO lambs for slaughter. In this market, the acquirer and the target have respective shares of [10-20]% and [10-20]%. Following the operation, the new entity will still face competition from significant competitors, including those previously mentioned at the local level.</w:t>
      </w:r>
    </w:p>
    <w:p>
      <w:r>
        <w:t>76. Consequently, the operation is not likely to harm competition in the markets for the collection of sheep at the national level.</w:t>
      </w:r>
    </w:p>
    <w:p>
      <w:r>
        <w:t>b) Carcasses of Meat from the First Transformation</w:t>
      </w:r>
    </w:p>
    <w:p>
      <w:r>
        <w:t>77. In the markets for meat carcasses, the parties' activities overlap in the meats of cattle, sheep, and pigs.</w:t>
      </w:r>
    </w:p>
    <w:p>
      <w:r>
        <w:t>Carcasses of Cattle</w:t>
      </w:r>
    </w:p>
    <w:p>
      <w:r>
        <w:t>78. In the market for cattle carcasses, the new entity will have, regardless of the segmentation adopted, a market share of less than 25%, or less than 50% market share with an addition of market shares of less than 2 points.</w:t>
      </w:r>
    </w:p>
    <w:p>
      <w:r>
        <w:t>79. Consequently, the operation is not likely to harm competition in the markets for cattle carcasses.</w:t>
      </w:r>
    </w:p>
    <w:p>
      <w:r>
        <w:t>Carcasses of Sheep</w:t>
      </w:r>
    </w:p>
    <w:p>
      <w:r>
        <w:t>80. In the market for sheep carcasses, the new entity will have, regardless of the segmentation, a market share of less than 25%, or less than 50% market share with an addition of market shares of less than 2 points, except in the market for SIQO lamb carcasses intended for large retail chains and BCA.</w:t>
      </w:r>
    </w:p>
    <w:p>
      <w:r>
        <w:rPr>
          <w:b/>
        </w:rPr>
        <w:t>[Pages 13–15]</w:t>
      </w:r>
    </w:p>
    <w:p>
      <w:r>
        <w:t>81. In the market for large retail chains, the acquirer and the target hold respectively [20-30]% and [5-10]% of market share. The market share of the new entity will therefore be [20-30]%.</w:t>
      </w:r>
    </w:p>
    <w:p>
      <w:r>
        <w:t>82. The new entity will continue to face competition from several national competitors41 as well as the significant counter-power of the large retail chain brands.</w:t>
      </w:r>
    </w:p>
    <w:p>
      <w:r>
        <w:t>83. Consequently, the transaction is not likely to harm competition in the market for SIQO lamb carcasses intended for large retail chains.</w:t>
      </w:r>
    </w:p>
    <w:p>
      <w:r>
        <w:t>84. In the market for the BCA, the acquirer and the target hold respectively [10-20]% and [10-20]% of market share. The market share of the new entity will therefore be [20-30]%. In this segment, the new entity will continue to face competition from several national competitors42.</w:t>
      </w:r>
    </w:p>
    <w:p>
      <w:r>
        <w:t>85. Consequently, the transaction is not likely to harm competition in the market for SIQO lamb carcasses intended for the BCA.</w:t>
      </w:r>
    </w:p>
    <w:p>
      <w:r>
        <w:t>86. The transaction is therefore not likely to harm competition in the markets for sheep carcasses.</w:t>
      </w:r>
    </w:p>
    <w:p>
      <w:r>
        <w:t>The carcasses of pigs</w:t>
        <w:br/>
        <w:t>87. In the market for pig carcasses, the new entity will hold, regardless of segmentation, a market share of less than 25%.</w:t>
      </w:r>
    </w:p>
    <w:p>
      <w:r>
        <w:t>88. Consequently, the transaction is not likely to harm competition in the markets for pig carcasses.</w:t>
      </w:r>
    </w:p>
    <w:p>
      <w:r>
        <w:t>c) By-products from slaughter</w:t>
        <w:br/>
        <w:t>89. In the markets for by-products suitable for human and animal consumption and for pharmaceutical uses, as well as for products unfit for consumption, the combined market share of the parties is less than 25%, regardless of the segment considered. Regarding the markets for hides and skins, the combined market share of the parties is less than 25%, or less than 50% with a combined market share increase of less than 2 points, regardless of the segment considered.</w:t>
      </w:r>
    </w:p>
    <w:p>
      <w:r>
        <w:t>90. Consequently, the transaction is not likely to harm competition in the markets for by-products from slaughter.</w:t>
      </w:r>
    </w:p>
    <w:p>
      <w:r>
        <w:t>2. THE SECOND TRANSFORMATION</w:t>
        <w:br/>
        <w:t>91. The activities of the parties overlap in the markets for fresh beef, sheep, and pig meat.</w:t>
      </w:r>
    </w:p>
    <w:p>
      <w:r>
        <w:t>a) Fresh beef</w:t>
        <w:br/>
        <w:t>92. The market share of the new entity will remain below 25%, or below 50% with a combined market share increase resulting from the transaction of less than 2 points, regardless of segmentation, across all relevant segments except for the fresh veal SIQO intended for large retail chains.</w:t>
      </w:r>
    </w:p>
    <w:p>
      <w:r>
        <w:t>93. In this market, the acquirer and the target hold respectively 53% and 2% of market share. The new entity will therefore hold 55% of market share.</w:t>
      </w:r>
    </w:p>
    <w:p>
      <w:r>
        <w:t>94. It should be noted, however, that the change in market structure induced by the transaction is limited, given the low combined market share increase (only 2 points). Furthermore, the majority of the acquirer's activity in this market results from a partnership concluded between the Bigard group and the brand […], under a partnership agreement. This partnership is based on a business plan, renegotiated annually, within the framework of the distribution agreement concluded between […] and Bigard. According to the notifying party, Bigard does not benefit from any guarantee of activity. Moreover, […] can terminate its relationship with Bigard every year, and in that case, would have the possibility to work with other operators active in Aveyron.</w:t>
      </w:r>
    </w:p>
    <w:p>
      <w:r>
        <w:t>95. Additionally, there is pressure from the presence of several competitors, some of whom are vertically integrated43 on one hand, and the strong counter-power held by the large retail chain brands, on the other hand. The transaction is therefore not likely to harm competition in the market for fresh beef, including with respect to SIQO veal.</w:t>
      </w:r>
    </w:p>
    <w:p>
      <w:r>
        <w:t>b) Fresh sheep meat</w:t>
        <w:br/>
        <w:t>96. The market share of the new entity will remain below 25%, regardless of the segmentation retained, except in the market for lamb meat intended for the BCA.</w:t>
      </w:r>
    </w:p>
    <w:p>
      <w:r>
        <w:t>97. In this market, the acquirer and the target hold respectively a market share of [20-30]% and [5-10]%. The new entity will therefore hold [20-30]% of market share. Given the pressure from the presence of other national competitors44, the transaction is not likely to harm competition in the markets for fresh sheep meat.</w:t>
      </w:r>
    </w:p>
    <w:p>
      <w:r>
        <w:t>c) Fresh pig meat</w:t>
        <w:br/>
        <w:t>98. The market share of the new entity will remain below 25%, regardless of segmentation.</w:t>
      </w:r>
    </w:p>
    <w:p>
      <w:r>
        <w:t>99. Consequently, the transaction is not likely to harm competition in the markets for fresh pig meat.</w:t>
      </w:r>
    </w:p>
    <w:p>
      <w:r>
        <w:t>100. The transaction is therefore not likely to harm competition in the markets for the second transformation.</w:t>
      </w:r>
    </w:p>
    <w:p>
      <w:r>
        <w:t>B. VERTICAL EFFECTS</w:t>
        <w:br/>
        <w:t>101. A vertical concentration can restrict competition by making access to the markets in which the new entity will be active more difficult, or by potentially excluding competitors or penalizing them through increased costs. This lock-in can target downstream markets when the integrated company refuses to sell an input to its distributor competitors (input lock-in), or upstream markets when the downstream branch of the integrated company refuses to purchase products from manufacturers, thereby reducing their commercial outlets (customer lock-in). However, the decision-making practice of competition authorities generally considers that a risk of vertical effect can be ruled out as long as the market share of the company resulting from the transaction in the relevant upstream and downstream markets does not exceed 30%45.</w:t>
      </w:r>
    </w:p>
    <w:p>
      <w:r>
        <w:t>102. In this case, the acquirer is present in the markets for the third and fourth transformation, while both parties are active in the markets for the first and second transformation.</w:t>
      </w:r>
    </w:p>
    <w:p>
      <w:r>
        <w:t>103. Vertical effects may exist between the markets for the first and second transformation (1) on one hand, and between the markets for the second transformation and those for the third and fourth transformation (2) on the other hand.</w:t>
      </w:r>
    </w:p>
    <w:p>
      <w:r>
        <w:t>1. VERTICAL EFFECT BETWEEN THE MARKETS OF THE FIRST AND SECOND TRANSFORMATION</w:t>
        <w:br/>
        <w:t>104. The new entity could decide, following the transaction, to no longer supply its competitors present in the market for the second transformation with cattle, sheep, and pig carcasses (input lock-in). The new entity could also decide, for its second transformation activities, to no longer source cattle, sheep, and pig carcasses from its competitors, thereby depriving them of outlets in order to exclude them (customer lock-in).</w:t>
      </w:r>
    </w:p>
    <w:p>
      <w:r>
        <w:t>105. However, the market share of the new entity in the markets for carcasses and in those for the second transformation is below 30%, regardless of the segmentation considered, except for SIQO veal.</w:t>
      </w:r>
    </w:p>
    <w:p>
      <w:r>
        <w:t>106. Regarding SIQO veal, the new entity holds, downstream, a market share of approximately 55%, with the combined market share increase resulting from the transaction being 2 points. The position of the new entity in this market partly results from a partnership with the brand […] which can be renegotiated annually. Furthermore, the main competitors of the new entity are economically powerful and integrated, particularly upstream46.</w:t>
      </w:r>
    </w:p>
    <w:p>
      <w:r>
        <w:t>107. Given these elements, in the event that the new entity implements a customer lock-in strategy, the capacity and incentives of the new entity to do so would be only slightly modified by the transaction. Moreover, such a strategy would not have a significant effect on the markets for the second transformation.</w:t>
      </w:r>
    </w:p>
    <w:p>
      <w:r>
        <w:t>108. The transaction is therefore not likely to harm competition through vertical effects between the markets for the first and second transformation.</w:t>
      </w:r>
    </w:p>
    <w:p>
      <w:r>
        <w:rPr>
          <w:b/>
        </w:rPr>
        <w:t>[Pages 16–17]</w:t>
      </w:r>
    </w:p>
    <w:p>
      <w:r>
        <w:t>2. VERTICAL EFFECTS BETWEEN THE MARKETS OF SECONDARY PROCESSING AND THOSE OF TERTIARY AND QUATERNARY PROCESSING</w:t>
        <w:br/>
        <w:t>109. The new entity could decide, following the operation, to no longer supply its competitors present in the markets of tertiary and quaternary distribution with fresh meat from cattle, sheep, and pigs (input locking).</w:t>
        <w:br/>
        <w:t>110. However, the market share of the new entity in the markets of secondary processing is below 30%, except in the market for SIQO veal meat intended for large retail chains. In this market, the increment related to the operation remains very low (below 2%). Furthermore, the position of the new entity is primarily linked to the existence of a partnership between Bigard and [...] which can be renegotiated each year, both in its principle and in the quantities concerned. Finally, the new entity will face significant counter-power from the players in the large retail chains who, as previously explained, have alternative suppliers for this type of input.</w:t>
        <w:br/>
        <w:t>111. Given these elements, in the event that the new entity implements an input locking strategy, it would not have a significant effect on the markets of tertiary and quaternary processing.</w:t>
        <w:br/>
        <w:t>112. The new entity could also decide, for its activities in tertiary and quaternary processing, to no longer source fresh meat from cattle, sheep, and pigs from its competitors, thereby depriving them of an outlet in order to eliminate them (customer locking). However, the market share of the new entity in certain segments of the tertiary and quaternary processing market is above 30%.</w:t>
        <w:br/>
        <w:t>113. It appears, however, that the competing operators of the new entity in the secondary processing market are, for some of them, themselves vertically integrated downstream, thus having guaranteed outlets. Furthermore, the strengthening of the vertical integration of the new entity does not seem likely to create this type of risk since Bigard already prioritizes internal sourcing before the operation, and the target itself is not active in the markets of tertiary and quaternary processing.</w:t>
        <w:br/>
        <w:t>114. Consequently, any risk of vertical effect resulting from the implementation of a strategy of locking outlets following the operation can be excluded.</w:t>
        <w:br/>
        <w:t>115. The operation is therefore not likely to harm competition through vertical effects between the markets of secondary processing and those of tertiary and quaternary processing.</w:t>
      </w:r>
    </w:p>
    <w:p>
      <w:r>
        <w:t>DECIDES</w:t>
        <w:br/>
        <w:t>Sole Article: The operation notified under number 20-145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