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https://www.autoritedelaconcurrence.fr/fr/decision-de-controle-des-concentrations/relative-la-prise-de-controle-exclusif-des-actifs-lies-la</w:t>
      </w:r>
    </w:p>
    <w:p>
      <w:r>
        <w:t>Pages translated : 2</w:t>
      </w:r>
    </w:p>
    <w:p/>
    <w:p>
      <w:r>
        <w:rPr>
          <w:b/>
        </w:rPr>
        <w:t>[Pages 1–2]</w:t>
      </w:r>
    </w:p>
    <w:p>
      <w:r>
        <w:t xml:space="preserve">FRENCH REPUBLIC  </w:t>
        <w:br/>
        <w:t xml:space="preserve">Decision No. 25-DCC-303 of November 27, 2025  </w:t>
        <w:br/>
        <w:t xml:space="preserve">regarding the exclusive control acquisition of assets related to the Télé 7 Jours brand by Bauer Media France  </w:t>
        <w:br/>
        <w:t xml:space="preserve">The Competition Authority,  </w:t>
        <w:br/>
        <w:t xml:space="preserve">Having regard to the complete notification file sent to the mergers department on November 6, 2025,  </w:t>
        <w:br/>
        <w:t xml:space="preserve">regarding the exclusive control acquisition of assets related to the Télé 7 Jours brand by Bauer Media France, formalized by a memorandum of understanding signed on July 28,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Bauer Media France, the French subsidiary of the German group Bauer Media, of the assets related to the Télé 7 Jours brand which include three magazines available in different formats (paper, website, and social media): Télé 7 Jours, Télé 7 Jeux, and Télé 7 Jours Jeux, as well as a mobile application. The main sectors concerned by the notified operation are, on the one hand, the print media, and more specifically the segments of magazine readership and the sale of advertising space in magazine publishing, and, on the other hand, online editorial sites, including more specifically their operation as well as the sale of online advertising space on these same sites. The operation constitutes a concentration within the meaning of Article L. 430-1 of the Commercial Code. Given the revenues generated by the companies involved,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25-290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