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https://www.autoritedelaconcurrence.fr/fr/decision-de-controle-des-concentrations/relative-la-prise-de-controle-exclusif-des-divisions</w:t>
      </w:r>
    </w:p>
    <w:p>
      <w:r>
        <w:t>Pages translated : 4</w:t>
      </w:r>
    </w:p>
    <w:p/>
    <w:p>
      <w:r>
        <w:rPr>
          <w:b/>
        </w:rPr>
        <w:t>[Pages 1–3]</w:t>
      </w:r>
    </w:p>
    <w:p>
      <w:r>
        <w:t xml:space="preserve">FRENCH REPUBLIC  </w:t>
        <w:br/>
        <w:t xml:space="preserve">Decision No. 12-DCC-26 of February 24, 2012  </w:t>
        <w:br/>
        <w:t>regarding the exclusive control of the Trelleborg Fluid Solutions and Carbody divisions by Bavaria France Holding SAS</w:t>
      </w:r>
    </w:p>
    <w:p>
      <w:r>
        <w:t xml:space="preserve">The Competition Authority,  </w:t>
        <w:br/>
        <w:t xml:space="preserve">Having regard to the notification file sent to the concentrations service on January 19, 2012, and declared complete on February 13, 2012, regarding the exclusive control by Bavaria France Holding SAS of the Trelleborg Fluid Solutions and Carbody divisions, formalized by a share transfer agreement signed on May 28, 2010, a business transfer agreement signed on June 30, 2010, as well as by a transfer agreement dated January 23, 2012;  </w:t>
        <w:br/>
        <w:t xml:space="preserve">Having regard to Book IV of the Commercial Code relating to price freedom and competition, and in particular Articles L.430-1 to L.430-7;  </w:t>
        <w:br/>
        <w:t>Adopts the following decision:</w:t>
      </w:r>
    </w:p>
    <w:p>
      <w:r>
        <w:t xml:space="preserve">I. The concerned companies and the operation  </w:t>
        <w:br/>
        <w:t xml:space="preserve">1. Bavaria France Holding SAS, a simplified joint-stock company, is indirectly controlled by Bavaria Industriekapital AG, a German law company at the head of the Bavaria group (hereinafter "Bavaria group"). The Bavaria group is controlled by the German law company AS Vermögensverwaltungs GmbH, which is itself owned by Mr. Reimar Scholz. The Bavaria group specializes in restructuring operations and restoring the budgetary balance of the companies it acquires. It organizes its activities around three poles: i) mass production; ii) construction and design of factories; and iii) business services.  </w:t>
        <w:br/>
        <w:t xml:space="preserve">2. The Trelleborg Fluid Solutions divisions (hereinafter "TFS") and Carbody (hereinafter "the Target") are specialized in the manufacture of spare parts for the automotive industry. They are owned by a group of companies controlled by Trelleborg AB (hereinafter, "Trelleborg group").  </w:t>
        <w:br/>
        <w:t xml:space="preserve">3. TFS has seven production sites in Europe, including in Carquefou, near Nantes in France. These sites specialize in the manufacture of plastic and rubber parts (hoses/flexible pipes, filter cartridge connectors, etc.) for the ventilation and cooling systems of the powertrain (notably the engine) of motor vehicles. Carbody has four production sites in Europe, in Poix-Terron, Witry-les-Reims, and Rethel in France, and in Mlada in the Czech Republic. Carbody specializes in the manufacture of parts for the automotive industry belonging to four application categories: foam insulation products, rubber and plastic insulation parts, safety parts (stops and pedals), and air flow management parts (internal and external). Their clients are European automobile manufacturers such as Renault-Nissan, Ford, Fiat, Peugeot SA, BMW, Volkswagen, and Volvo, among others.  </w:t>
        <w:br/>
        <w:t xml:space="preserve">4. Under the share transfer agreement signed on January 23, 2012, between the Bavaria group and the Trelleborg group, the operation consists of the acquisition, no later than June 30, 2012, of the entire capital of Carbody by Tristone Flowtech Holding SAS, a subsidiary of the Bavaria group at […] %. As it results in the exclusive control of Carbody by the Bavaria group, the notified operation constitutes a concentration operation within the meaning of Article L.430-1 of the Commercial Code.  </w:t>
        <w:br/>
        <w:t xml:space="preserve">5. Furthermore, under the share transfer agreement signed on May 28, 2010, and the business transfer agreement that took place on June 30, 2010, the Bavaria group had already acquired TFS from the Trelleborg group. This activity, representing only an annual turnover of […] million euros in 2009, was not subject, at the time of its realization, to the obligation of prior notification to the competent competition authorities. However, in accordance with Article 5, paragraph 2, second subparagraph, of Regulation No. 139/2004, to which Article L.430-2 of the Commercial Code refers, “[…] two or more operations within the meaning of the first subparagraph that have taken place over a period of two years between the same persons or companies are to be considered as a single concentration occurring at the date of the last operation.” In these conditions, given the period of less than two years between these two transfers, it is necessary to include this first transfer in the scope of the operation to be examined in this case.  </w:t>
        <w:br/>
        <w:t>6. The concerned companies together achieve a total worldwide turnover of more than 150 million euros (Bavaria group: […] million euros for the fiscal year ending December 31, 2010; the Target: […] million euros for the same year). Bavaria achieved, in France for the fiscal year ending December 31, 2010, a turnover of only […] million euros but has since acquired Griset SA and its subsidiary Diehl Metall Malaysia, an operation that will take place before the acquisition of the Carbody division is realized. The integration of the turnover achieved in France for the same fiscal year by these companies brings the turnover achieved in France by the acquiring group to […] million euros. The Target, for its part, achieved in France for the same fiscal year a turnover of […] million euros for the same year, of which […] million euros for the TFS division and […] million euros for the Carbody division. The acquiring group and the Target therefore both achieve in France a turnover exceeding 50 million euros. Given these turnover figures,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 xml:space="preserve">7. The parties to the concentration are simultaneously active in the sector of manufacturing spare parts for automobile manufacturers.  </w:t>
        <w:br/>
        <w:t xml:space="preserve">8. In the field of automotive equipment, both community and national decision-making practice considers that each type of part can constitute a relevant market in the absence of substitutability between the different types of parts. Specific markets have notably been identified for bumpers, door panels, dashboards, mudguards, side protections (body belts), sills, spoilers, or even decorated parts for dashboards and door panels.  </w:t>
        <w:br/>
        <w:t xml:space="preserve">9. Community and national decision-making practice has also distinguished, in decisions relating to the automotive equipment sector, between first fit markets (OEM – Original Equipment Manufacturer) and spare parts distributed by manufacturer networks (OES – Original Equipment Services) on the one hand, and markets grouping spare parts distributed by large distribution networks or vehicle maintenance specialists (IAM – Independent Aftermarket) on the other hand.  </w:t>
        <w:br/>
        <w:t xml:space="preserve">10. Community practice has furthermore considered segmenting the product markets in the sector based on the type of vehicle to which the automotive part is integrated, distinguishing between passenger vehicles and light commercial vehicles on the one hand and heavy trucks on the other hand. In this case, the parties are present in the segment of passenger vehicles and light commercial vehicles.  </w:t>
        <w:br/>
        <w:t xml:space="preserve">11. In this case, the parties to the concentration do not manufacture the same types of parts. There is no need to challenge these definitions within the framework of this decision. They nevertheless sell their parts to automobile manufacturers and have a number of common clients. The effects of the operation will therefore be examined in terms of potential conglomerate effects.  </w:t>
        <w:br/>
        <w:t>12. Decision-making practice considers that the markets for spare parts for the automotive industry are at least of European dimension. The effects of the operation will therefore be examined on markets of European dimension, the exact delimitation of the markets being left open, as the conclusions of the competitive analysis will remain unchanged regardless of the delimitations retained.</w:t>
      </w:r>
    </w:p>
    <w:p>
      <w:r>
        <w:rPr>
          <w:b/>
        </w:rPr>
        <w:t>[Pages 4–4]</w:t>
      </w:r>
    </w:p>
    <w:p>
      <w:r>
        <w:t>III. Competitive Analysis</w:t>
      </w:r>
    </w:p>
    <w:p>
      <w:r>
        <w:t>13. The parties to the operation do not manufacture the same types of parts but sell their production to automobile manufacturers. It is necessary to examine the risks of harm to competition through potential conglomerate effects.</w:t>
      </w:r>
    </w:p>
    <w:p>
      <w:r>
        <w:t>14. In each of the community markets for spare parts intended for the automotive industry, the parties to the operation hold market shares of less than 25%. Indeed, in a potential market for pressure die-cast aluminum parts for the automotive industry, Bavaria holds a market share of less than 5%. If this market were to be segmented, Bavaria would hold a market share of [0-5]% in the sub-segment of engine components and in the sub-segment of transmission and chassis components, and [5-10]% in the sub-segment of structural components of the vehicle frame. Finally, Bavaria holds a market share of less than 10% in the segment of rotors for electric motors and less than 20% in the segment of pulleys, discs, and pistons of the powertrain including the gearbox. Furthermore, TFS holds a market share of less than 20% in the potential market for parts for the engine's heating and cooling circuit, [0-5]% in the potential market for parts of the turbocharger air cooler circuit, and [5-10]% in the potential market for parts for the air intake/air transport circuit. Lastly, Carbody holds a market share of [5-10]% in the potential market for foam insulation products, [10-20]% in the potential market for rubber and plastic insulation parts, [10-20]% in the potential market for stops, and [5-10]% in the potential market for pedal assemblies as well as in the potential market for air flow management parts (external and internal).</w:t>
      </w:r>
    </w:p>
    <w:p>
      <w:r>
        <w:t>15. Regarding customers, the parties indicated that their main customers are automobile manufacturers, their common customers being [Confidential]. However, automobile manufacturers have significant bargaining power and retain the ability to have their parts produced by the competitors of the parties to the operation.</w:t>
      </w:r>
    </w:p>
    <w:p>
      <w:r>
        <w:t>16. In light of the above, the operation is not likely to harm competition in the markets for spare parts intended for the automotive industry concerned by the notified operation.</w:t>
      </w:r>
    </w:p>
    <w:p>
      <w:r>
        <w:t>DECIDES</w:t>
      </w:r>
    </w:p>
    <w:p>
      <w:r>
        <w:t>Sole Article: The operation notified under number 11-255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