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https://www.autoritedelaconcurrence.fr/fr/decision-de-controle-des-concentrations/relative-la-prise-de-controle-exclusif-des-filiales-du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12-DCC-105 of July 31, 2012  </w:t>
        <w:br/>
        <w:t xml:space="preserve">regarding the exclusive control acquisition of the subsidiaries of the East Balt group  </w:t>
        <w:br/>
        <w:t xml:space="preserve">by the investment fund One Equity Partners IV.  </w:t>
        <w:br/>
        <w:t xml:space="preserve">The Competition Authority,  </w:t>
        <w:br/>
        <w:t xml:space="preserve">Having regard to the complete notification file sent to the mergers department on July 12, 2012,  </w:t>
        <w:br/>
        <w:t xml:space="preserve">concerning the exclusive control acquisition of the subsidiaries of the East Balt group by the  </w:t>
        <w:br/>
        <w:t xml:space="preserve">investment fund One Equity Partners IV;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all the subsidiaries of the  </w:t>
        <w:br/>
        <w:t xml:space="preserve">East Balt group, active in the bakery products production sector, by the  </w:t>
        <w:br/>
        <w:t xml:space="preserve">investment fund One Equity Partners IV, owned by JP Morgan Chase &amp; Co.  </w:t>
        <w:br/>
        <w:t xml:space="preserve">It constitutes a concentration within the meaning of Article L 430-1 of the Commercial Code. Given  </w:t>
        <w:br/>
        <w:t xml:space="preserve">the turnover achieved by the concerned companies, the operation does not have a  </w:t>
        <w:br/>
        <w:t xml:space="preserve">community dimension. On the other hand, the control thresholds mentioned in I of Article L  </w:t>
        <w:br/>
        <w:t xml:space="preserve">430-2 are exceeded. The present operation is therefore subject to the provisions of Articles L  </w:t>
        <w:br/>
        <w:t xml:space="preserve">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12-115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