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https://www.autoritedelaconcurrence.fr/fr/decision-de-controle-des-concentrations/relative-la-prise-de-controle-exclusif-des-groupes-magimix</w:t>
      </w:r>
    </w:p>
    <w:p>
      <w:r>
        <w:t>Pages translated : 2</w:t>
      </w:r>
    </w:p>
    <w:p/>
    <w:p>
      <w:r>
        <w:rPr>
          <w:b/>
        </w:rPr>
        <w:t>[Pages 1–2]</w:t>
      </w:r>
    </w:p>
    <w:p>
      <w:r>
        <w:t xml:space="preserve">FRENCH REPUBLIC  </w:t>
        <w:br/>
        <w:t xml:space="preserve">Decision No. 24-DCC-193 of August 29, 2024  </w:t>
        <w:br/>
        <w:t xml:space="preserve">regarding the exclusive control acquisition of the Magimix and Robot Coupe groups by the company Ardian  </w:t>
        <w:br/>
        <w:t xml:space="preserve">The Competition Authority,  </w:t>
        <w:br/>
        <w:t xml:space="preserve">Having regard to the complete notification file sent to the mergers department on August 6, 2024,  </w:t>
        <w:br/>
        <w:t xml:space="preserve">concerning the exclusive control acquisition of the Magimix and Robot Coupe groups by the company Ardian formalized by the signing, on July 16, 2024, of an option agreement to which an investment contract and a shareholders' agreement are notably annexed;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indirect acquisition by the company Ardian of all the patents necessary and 51% of the shares of the companies at the head of the Magimix and Robot Coupe groups, which are active in the small household appliances sector. The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24-203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