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https://www.autoritedelaconcurrence.fr/fr/decision-de-controle-des-concentrations/relative-la-prise-de-controle-exclusif-des-groupes-ne</w:t>
      </w:r>
    </w:p>
    <w:p>
      <w:r>
        <w:t>Pages translated : 4</w:t>
      </w:r>
    </w:p>
    <w:p/>
    <w:p>
      <w:r>
        <w:rPr>
          <w:b/>
        </w:rPr>
        <w:t>[Pages 1–3]</w:t>
      </w:r>
    </w:p>
    <w:p>
      <w:r>
        <w:t xml:space="preserve">FRENCH REPUBLIC  </w:t>
        <w:br/>
        <w:t xml:space="preserve">Decision No. 10-DCC-63 of June 21, 2010  </w:t>
        <w:br/>
        <w:t xml:space="preserve">regarding the exclusive control of the Ne Varietur and CI2E groups  </w:t>
        <w:br/>
        <w:t>by Arclight Capital Partners</w:t>
      </w:r>
    </w:p>
    <w:p>
      <w:r>
        <w:t xml:space="preserve">The Competition Authority,  </w:t>
        <w:br/>
        <w:t xml:space="preserve">Having regard to the notification file submitted in full to the merger service on May 18, 2010,  </w:t>
        <w:br/>
        <w:t xml:space="preserve">regarding the exclusive control of the Ne Varietur and CI2E groups by Arclight Capital Partners, formalized by the offer letter of March 26,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A. THE COMPANIES  </w:t>
        <w:br/>
        <w:t xml:space="preserve">1. Arclight Capital Partners (hereinafter "ACP") is an American group operating in the field of energy investment. ACP manages over 6.8 billion dollars distributed among four investment funds. The Arclight Capital Partners group is present in France through the NeoElectra group, active since 2003 in the energy sector and wholly owned by ACP. The French activities of the NeoElectra group revolve around three poles: cogeneration and cutting-edge plants, renewable energies, and heating and cooling systems. The present acquisition will be carried out by NeoDexam, created by ACP for the needs of this operation, and linked to fund IV.  </w:t>
        <w:br/>
        <w:t xml:space="preserve">2. The total worldwide turnover excluding taxes achieved by the Arclight Capital Partners group in 2009, the last closed fiscal year, amounts to [≥150 million] euros, of which [≥50 million] euros in France.  </w:t>
        <w:br/>
        <w:t xml:space="preserve">3. The company Ne Varietur is the parent holding company of the Ne Varietur group, whose activities are structured around four main operational divisions: heating networks (representing approximately 75% of the group's turnover), heating operation and multi-technical activities, engineering and works, maintenance and creation of green spaces. Prior to the present operation, the capital of Ne Varietur was held 34% by Cogac, a subsidiary of GDF Suez, and 64% by Messrs. X and Y and their family, with the remaining capital distributed among various third parties. Under a shareholders' agreement signed on August 17, 2000, Cogac enjoyed certain rights and prerogatives related to the administration of the Ne Varietur group. More specifically, out of the eight members of the board of directors of Ne Varietur, three directors were appointed on the proposal of the company Cogac. The express consent of at least one of these three directors was also necessary for the approval of the annual budget as well as for any conclusion of a commercial commitment whose amount exceeded 800,000 euros, having a duration exceeding 5 years or providing for an exclusivity clause. Consequently, and in accordance with the analysis conducted by the European Commission during the GDF/Suez operation, Cogac held, prior to the present acquisition, a veto right over strategic decisions exceeding the rights normally granted to minority shareholders to protect their financial interests, granting it control of the Ne Varietur group, jointly with Mr. X.  </w:t>
        <w:br/>
        <w:t xml:space="preserve">4. The company CI2E is the parent company of the CI2E group, whose main activity is project management in urban heating concessions (public service delegation). Prior to the present operation, the capital of CI2E was held 60% by Mr. X and 40% by Mr. Y.  </w:t>
        <w:br/>
        <w:t>5. The total worldwide turnover excluding taxes achieved by the target as of September 30, 2009, the last closed fiscal year, amounts to 247.5 million euros (246.5 million euros for Ne Varietur and 1 million euros for CI2E), exclusively in France.</w:t>
      </w:r>
    </w:p>
    <w:p>
      <w:r>
        <w:t xml:space="preserve">B. THE OPERATION  </w:t>
        <w:br/>
        <w:t xml:space="preserve">6. Under the terms of the offer letter of March 26, 2010, the NeoElectra group committed to Messrs. X and Y to acquire their stakes in the capital of Ne Varietur (64%) and CI2E (100%).  </w:t>
        <w:br/>
        <w:t xml:space="preserve">7. [Confidential]  </w:t>
        <w:br/>
        <w:t xml:space="preserve">8. [Confidential]  </w:t>
        <w:br/>
        <w:t xml:space="preserve">9. [Confidential]  </w:t>
        <w:br/>
        <w:t xml:space="preserve">10. [Confidential]  </w:t>
        <w:br/>
        <w:t xml:space="preserve">* * *  </w:t>
        <w:br/>
        <w:t>11. Insofar as it results in the exclusive control of the Ne Varietur and CI2E groups by Arclight Capital Partners, the notified operation constitutes a concentration within the meaning of Article L. 430-1 of the Commercial Code. Given the turnover of the concerned companies, it does not have a community dimension. However, the control thresholds mentioned in Article L. 430-2 of the Commercial Code are exceeded. The present operation is therefore subject to the provisions of Articles L. 430-3 et seq. of the Commercial Code relating to economic concentration.</w:t>
      </w:r>
    </w:p>
    <w:p>
      <w:r>
        <w:t xml:space="preserve">II. Definition of Relevant Markets  </w:t>
        <w:br/>
        <w:t xml:space="preserve">12. In view of the activities carried out by the parties, the present operation results in an overlap in the market for the delegated management of public service urban heating and cooling networks.  </w:t>
        <w:br/>
        <w:t xml:space="preserve">13. The European Commission had the opportunity to examine, during the GDF/Suez operation, the market for the delegated management of public service urban heating networks (heating, domestic hot water). In this market, the demand comes from municipalities wishing to contract (for a period of twelve to twenty-four years) the management of heating networks, with the selection of the provider being made through a call for tenders.  </w:t>
        <w:br/>
        <w:t xml:space="preserve">14. National authorities have also questioned, while leaving the question open, a possible distinction between the management of heating networks and the management of cooling networks (air conditioning).  </w:t>
        <w:br/>
        <w:t xml:space="preserve">15. Competition authorities, both national and community, have also retained for the analysis of this market of delegated management of public service urban networks a national dimension.  </w:t>
        <w:br/>
        <w:t xml:space="preserve">16. In this case, there is no need to resolve the question of the exact delimitation of the market for the delegated management of public service urban heating and cooling networks, as the conclusions of the analysis remain unchanged regardless of the segmentation retained.  </w:t>
        <w:br/>
        <w:t>17. Furthermore, the NeoElectra group is present in the market for the production and supply of heat, while the target is present in the markets for HVAC works and technical management and operations of buildings. However, considering the extremely low position (less than 1%) of the parties in their respective markets, any competitive concern related to the possible existence of links of connection between these different sectors can be dismissed.</w:t>
      </w:r>
    </w:p>
    <w:p>
      <w:r>
        <w:t xml:space="preserve">III. Competitive Analysis  </w:t>
        <w:br/>
        <w:t>18. The parties estimate that the French market for the delegated management of urban heating and cooling networks can be valued at 6.4 billion euros, of which 6.3 billion euros for the heating networks segment and 91 million euros for the cooling networks segment.</w:t>
      </w:r>
    </w:p>
    <w:p>
      <w:r>
        <w:rPr>
          <w:b/>
        </w:rPr>
        <w:t>[Pages 4–4]</w:t>
      </w:r>
    </w:p>
    <w:p>
      <w:r>
        <w:t>19. In the overall market for the delegated management of heating and cooling networks, the market share of the NeoElectra group is [0-10]% (with a turnover amounting to […] million euros), while the target holds a market share of [0-10]% (with a turnover of […] million euros). The new entity will therefore have, following the proposed operation, a market share of [0-10]% concerning the delegated management of heating and cooling networks.</w:t>
      </w:r>
    </w:p>
    <w:p>
      <w:r>
        <w:t>20. In the narrower market for the delegated management of heating networks, the position of the NeoElectra group is estimated at [0-10]% (with a turnover of […] million euros) and that of the target at [0-10]% (with a turnover of […] million euros). Thus, once the operation is completed, the ACP group will hold a market share of [0-10]% regarding the delegated management of heating networks.</w:t>
      </w:r>
    </w:p>
    <w:p>
      <w:r>
        <w:t>21. Finally, in the market for the delegated management of cooling networks, only NeoElectra operates with a market share of [0-10]% corresponding to a turnover of […] million euros.</w:t>
      </w:r>
    </w:p>
    <w:p>
      <w:r>
        <w:t>22. In the overall delegated management of heating and cooling networks, the new entity will continue to face competition notably from Dalkia ([30-40]% market share), GDF Suez ([20-30]% market share), Rhodia Energie ([0-10]% market share), and Idex Energies ([0-10]% market share).</w:t>
      </w:r>
    </w:p>
    <w:p>
      <w:r>
        <w:t>23. In light of the above, the present operation is not likely to harm competition either in the overall market for the delegated management of heating and cooling networks or in the narrower market for the delegated management of heating networks alone.</w:t>
      </w:r>
    </w:p>
    <w:p>
      <w:r>
        <w:t>DECIDES</w:t>
      </w:r>
    </w:p>
    <w:p>
      <w:r>
        <w:t>Sole Article: The operation notified under number 10-0069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