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https://www.autoritedelaconcurrence.fr/fr/decision-de-controle-des-concentrations/relative-la-prise-de-controle-exclusif-des-marques-brandt</w:t>
      </w:r>
    </w:p>
    <w:p>
      <w:r>
        <w:t>Pages translated : 2</w:t>
      </w:r>
    </w:p>
    <w:p/>
    <w:p>
      <w:r>
        <w:rPr>
          <w:b/>
        </w:rPr>
        <w:t>[Pages 1–2]</w:t>
      </w:r>
    </w:p>
    <w:p>
      <w:r>
        <w:t xml:space="preserve">FRENCH REPUBLIC  </w:t>
        <w:br/>
        <w:t xml:space="preserve">Decision No. 26-DCC-115 of May 6, 2026  </w:t>
        <w:br/>
        <w:t xml:space="preserve">regarding the exclusive acquisition of control over the brands Brandt, Vedette, Sauter, and De Dietrich as well as certain other tangible assets held by the companies Groupe Brandt and Brandt France by the company Cafom SA  </w:t>
        <w:br/>
        <w:t xml:space="preserve">The Competition Authority,  </w:t>
        <w:br/>
        <w:t xml:space="preserve">Having regard to the notification file sent on February 10, 2026, to the mergers department and declared complete on April 24, 2026, concerning the exclusive acquisition of control over the brands Brandt, Vedette, Sauter, and De Dietrich as well as certain other tangible assets held by the companies Groupe Brandt and Brandt France by the company Cafom SA, formalized by two takeover offers dated January 29, 2026, and the orders of the Economic Activities Court of Nanterre dated March 13, 2026;  </w:t>
        <w:br/>
        <w:t xml:space="preserve">Having regard to Book IV of the Commercial Code relating to price freedom and competition, and in particular its Articles L. 430-1 to L. 430-7;  </w:t>
        <w:br/>
        <w:t xml:space="preserve">Having regard to the elements submitted by the notifying party during the investigation;  </w:t>
        <w:br/>
        <w:t xml:space="preserve">Having regard to the other documents in the file;  </w:t>
        <w:br/>
        <w:t xml:space="preserve">Adopts the following decision:  </w:t>
        <w:br/>
        <w:t xml:space="preserve">1. The notified operation consists of the exclusive acquisition of control by the company Cafom SA over the brands Brandt, Vedette, Sauter, and De Dietrich as well as certain other tangible assets held by the companies Groupe Brandt and Brandt France, active in the supply and distribution of household appliances. Given the revenues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1 The notified operation does not fall under the specific thresholds for retail trade insofar as no point of sale is among the target assets. In light of the elements of the file submitted, in particular an estimate of the value of the transferred brands in an internal document of the seller, the Authority considered that a turnover exceeding 50 million euros in France could be attributed to the tangible and intangible assets concerned by the operation.</w:t>
      </w:r>
    </w:p>
    <w:p>
      <w:r>
        <w:t xml:space="preserve">2. In light of the elements of the file, the operation is not likely to harm competition in the relevant markets.  </w:t>
        <w:br/>
        <w:t xml:space="preserve">DECIDES  </w:t>
        <w:br/>
        <w:t xml:space="preserve">Sole Article: The operation notified under number 26-039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