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https://www.autoritedelaconcurrence.fr/fr/decision-de-controle-des-concentrations/relative-la-prise-de-controle-exclusif-des-pepinieres-du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18-DCC-189 of November 6, 2018  </w:t>
        <w:br/>
        <w:t xml:space="preserve">regarding the exclusive control acquisition of Pépinières du Bavent by the  </w:t>
        <w:br/>
        <w:t xml:space="preserve">company Botanic-Serres du Salève (Botanic group)  </w:t>
        <w:br/>
        <w:t xml:space="preserve">The Competition Authority,  </w:t>
        <w:br/>
        <w:t xml:space="preserve">Having regard to the complete notification file submitted to the mergers department on October 5, 2018,  </w:t>
        <w:br/>
        <w:t xml:space="preserve">concerning the exclusive control acquisition of Pépinières du Bavent by the company Botanic-  </w:t>
        <w:br/>
        <w:t xml:space="preserve">Serres du Salève, formalized by a share transfer agreement dated September 6,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Botanic-  </w:t>
        <w:br/>
        <w:t xml:space="preserve">Serres du Salève of 13 target companies, which together form the "Pépinières du Bavent"1,  </w:t>
        <w:br/>
        <w:t xml:space="preserve">which are primarily active in the retail markets for gardening products, DIY, outdoor fittings, and pet supplies. It constitutes a concentration  </w:t>
        <w:br/>
        <w:t xml:space="preserve">within the meaning of Article L. 430-1 of the Commercial Code. Given the turnover achieved  </w:t>
        <w:br/>
        <w:t xml:space="preserve">by the companies concerned, the operation does not fall under the jurisdiction of the European  </w:t>
        <w:br/>
        <w:t xml:space="preserve">Union. On the other hand, the retail control thresholds mentioned in II of Article L. 430-2 of the Commercial Code are exceeded. The present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Given the elements of the file, the operation is not likely to harm competition in the  </w:t>
        <w:br/>
        <w:t xml:space="preserve">relevant markets.  </w:t>
        <w:br/>
        <w:t xml:space="preserve">1 The Pépinières du Bavent consists of six points of sale, six real estate civil companies owning the real estate complexes  </w:t>
        <w:br/>
        <w:t xml:space="preserve">in which the stores are located, and a general partnership responsible for carrying out all service provisions for the  </w:t>
        <w:br/>
        <w:t>target companies.</w:t>
      </w:r>
    </w:p>
    <w:p>
      <w:r>
        <w:t xml:space="preserve">DECIDES  </w:t>
        <w:br/>
        <w:t xml:space="preserve">Single Article: The operation notified under number 18-218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