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https://www.autoritedelaconcurrence.fr/fr/decision-de-controle-des-concentrations/relative-la-prise-de-controle-exclusif-des-portefeuilles</w:t>
      </w:r>
    </w:p>
    <w:p>
      <w:r>
        <w:t>Pages translated : 2</w:t>
      </w:r>
    </w:p>
    <w:p/>
    <w:p>
      <w:r>
        <w:rPr>
          <w:b/>
        </w:rPr>
        <w:t>[Pages 1–2]</w:t>
      </w:r>
    </w:p>
    <w:p>
      <w:r>
        <w:t xml:space="preserve">FRENCH REPUBLIC  </w:t>
        <w:br/>
        <w:t xml:space="preserve">Decision No. 18-DCC-60 of April 20, 2018  </w:t>
        <w:br/>
        <w:t xml:space="preserve">regarding the exclusive control acquisition of the Natio and Avanssur portfolios by BNP Paribas Cardif  </w:t>
        <w:br/>
        <w:t xml:space="preserve">The Competition Authority,  </w:t>
        <w:br/>
        <w:t xml:space="preserve">Having regard to the complete notification file sent to the mergers department on March 30, 2018,  </w:t>
        <w:br/>
        <w:t xml:space="preserve">concerning the exclusive control acquisition of the Natio and Avanssur portfolios by BNP Paribas Cardif, formalized by a share transfer and acquisition contract signed on March 28,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BNP Paribas Cardif of the Natio and Avanssur portfolios, which are composed of damage insurance contracts intended for individuals. It constitutes a concentration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on the one hand, the production of insurance products and, on the other hand, the distribution of products on behalf of third parties. These markets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18-059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