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https://www.autoritedelaconcurrence.fr/fr/decision-de-controle-des-concentrations/relative-la-prise-de-controle-exclusif-des-societes-0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11-DCC-25 of February 15, 2011  </w:t>
        <w:br/>
        <w:t xml:space="preserve">regarding the exclusive control acquisition of the companies Montadis, Sodanor,  </w:t>
        <w:br/>
        <w:t xml:space="preserve">Disnor, Someha, DAC, LPSM, and Somem by the company Retail Leader  </w:t>
        <w:br/>
        <w:t xml:space="preserve">Price Investissement  </w:t>
        <w:br/>
        <w:t xml:space="preserve">The Competition Authority,  </w:t>
        <w:br/>
        <w:t xml:space="preserve">Having regard to the complete notification file submitted to the mergers department on January 28, 2011,  </w:t>
        <w:br/>
        <w:t xml:space="preserve">concerning the acquisition of control over the companies Montadis, Sodanor, Disnor, Someha, DAC, LPSM, and  </w:t>
        <w:br/>
        <w:t xml:space="preserve">Somem by the company Retail Leader Price Investissement, formalized by a protocol dated  </w:t>
        <w:br/>
        <w:t xml:space="preserve">September 16, 2010;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by the company Retail Leader Price  </w:t>
        <w:br/>
        <w:t xml:space="preserve">Investissement of the companies Montadis, Sodanor, Disnor, Someha, DAC, LPSM, and Somem  </w:t>
        <w:br/>
        <w:t xml:space="preserve">from the Rufenacht group. The company Montadis operates a supermarket of 1,103 m² in Petit  </w:t>
        <w:br/>
        <w:t xml:space="preserve">Quevilly (76), Sodanor a supermarket of 700 m² in Montivilliers (76), Disnor a  </w:t>
        <w:br/>
        <w:t xml:space="preserve">supermarket with an area of 900 m² in Le Havre Capuchet (76), Someha a supermarket  </w:t>
        <w:br/>
        <w:t xml:space="preserve">with an area of 980 m² in Le Havre Fleurus (76), DAC a supermarket with an area of  </w:t>
        <w:br/>
        <w:t xml:space="preserve">980 m² in Pierrelaye (95), LPSM a supermarket with an area of 980 m² in Saint Etienne  </w:t>
        <w:br/>
        <w:t xml:space="preserve">de Rouvray (76), and Somem a supermarket with an area of 650 m² in Meudon la forêt  </w:t>
        <w:br/>
        <w:t xml:space="preserve">(92).  </w:t>
        <w:br/>
        <w:t xml:space="preserve">2. The notified operation constitutes a concentration operation within the meaning of Article L. 430-1 of  </w:t>
        <w:br/>
        <w:t xml:space="preserve">the Commercial Code. Given the turnover achieved by the companies concerned, the operation does not have  </w:t>
        <w:br/>
        <w:t xml:space="preserve">a community dimension. On the other hand, the control thresholds related to retail trade mentioned in point II of  </w:t>
        <w:br/>
        <w:t xml:space="preserve">Article L. 430-2 of the Commercial Code are exceeded. This operation is therefore subject to the provisions of  </w:t>
        <w:br/>
        <w:t xml:space="preserve">Articles L. 430-3 and following of the Commercial Code relating to economic concentration.  </w:t>
        <w:br/>
        <w:t>3.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11-0020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