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https://www.autoritedelaconcurrence.fr/fr/decision-de-controle-des-concentrations/relative-la-prise-de-controle-exclusif-des-societes-1</w:t>
      </w:r>
    </w:p>
    <w:p>
      <w:r>
        <w:t>Pages translated : 4</w:t>
      </w:r>
    </w:p>
    <w:p/>
    <w:p>
      <w:r>
        <w:rPr>
          <w:b/>
        </w:rPr>
        <w:t>[Pages 1–3]</w:t>
      </w:r>
    </w:p>
    <w:p>
      <w:r>
        <w:t xml:space="preserve">FRENCH REPUBLIC  </w:t>
        <w:br/>
        <w:t xml:space="preserve">Decision No. 12-DCC-12 of February 8, 2012  </w:t>
        <w:br/>
        <w:t xml:space="preserve">regarding the exclusive control of the companies Sagemcom B and  </w:t>
        <w:br/>
        <w:t xml:space="preserve">Sagemcom Energy &amp; Telecom Tunisia by the company JCA Acquisition  </w:t>
        <w:br/>
        <w:t xml:space="preserve">Company Limited  </w:t>
        <w:br/>
        <w:t xml:space="preserve">The Competition Authority,  </w:t>
        <w:br/>
        <w:t xml:space="preserve">Having regard to the notification file submitted in full to the merger service on January 5, 2012,  </w:t>
        <w:br/>
        <w:t xml:space="preserve">regarding the exclusive control of the companies Sagemcom B and Sagemcom Energy &amp;  </w:t>
        <w:br/>
        <w:t xml:space="preserve">Telecom Tunisia by the company JCA Acquisition Company Limited, formalized by a  </w:t>
        <w:br/>
        <w:t xml:space="preserve">purchase promise signed on November 18, 2011;  </w:t>
        <w:br/>
        <w:t xml:space="preserve">Having regard to Book IV of the Commercial Code relating to the freedom of prices and competition, and  </w:t>
        <w:br/>
        <w:t xml:space="preserve">notably its Articles L. 430-1 to L. 430-10;  </w:t>
        <w:br/>
        <w:t xml:space="preserve">Adopts the following decision:  </w:t>
        <w:br/>
        <w:t xml:space="preserve">I. The concerned companies and the operation  </w:t>
        <w:br/>
        <w:t xml:space="preserve">1. JCA Acquisition Company Limited (hereinafter "JCA"), a company limited by shares under English law, is  </w:t>
        <w:br/>
        <w:t xml:space="preserve">85% owned by JCA Holding Company LLC, a company registered in the State of Wyoming,  </w:t>
        <w:br/>
        <w:t xml:space="preserve">United States of America, controlled by Mr. Leonard Levie, and 15% by Kallisto  </w:t>
        <w:br/>
        <w:t xml:space="preserve">Holdings Limited, a company limited by shares under English law owned by Mr. Marc Renard-  </w:t>
        <w:br/>
        <w:t xml:space="preserve">Payen. Mr. Levie is also a 99% shareholder and the sole director of  </w:t>
        <w:br/>
        <w:t xml:space="preserve">the American Industrial Acquisition Corporation (hereinafter "AIAC"), a corporation under the  </w:t>
        <w:br/>
        <w:t xml:space="preserve">laws of the State of Delaware, which holds and manages interests in companies located in  </w:t>
        <w:br/>
        <w:t xml:space="preserve">the United States, Canada, France, the United Kingdom, the Netherlands, Poland, Portugal,  </w:t>
        <w:br/>
        <w:t xml:space="preserve">Mexico, India, Spain, and Sweden, active in the petrochemical, mining, metallurgical,  </w:t>
        <w:br/>
        <w:t xml:space="preserve">aerospace, medical equipment, construction, automotive, food preservation and cooking,  </w:t>
        <w:br/>
        <w:t xml:space="preserve">energy production, and defense sectors. In 2009, the group acquired the company Jabil Circuit Automobile1 whose activity of manufacturing circuit boards  </w:t>
        <w:br/>
        <w:t xml:space="preserve">1 Decision of the Competition Authority No. 09-DCC-51 of October 12, 2009, regarding the acquisition of the company Jabil Circuit Automobile  </w:t>
        <w:br/>
        <w:t>SAS by the company JCA Acquisition Company Limited.</w:t>
      </w:r>
    </w:p>
    <w:p>
      <w:r>
        <w:t xml:space="preserve">and electronic subassemblies is now developed by the company MSL Circuit.  </w:t>
        <w:br/>
        <w:t xml:space="preserve">AIAC, its subsidiaries, and all companies directly or indirectly controlled by  </w:t>
        <w:br/>
        <w:t xml:space="preserve">Mr. Levie form the AIAC Group.  </w:t>
        <w:br/>
        <w:t xml:space="preserve">2. Sagemcom B and Sagemcom Energy &amp; Telecom Tunisia (hereinafter "the targets") are two  </w:t>
        <w:br/>
        <w:t xml:space="preserve">companies that belong to the Sagemcom group, which is notably active in the sectors of  </w:t>
        <w:br/>
        <w:t xml:space="preserve">broadband, telecommunications, and energy. Sagemcom B was formed in November 2010 and  </w:t>
        <w:br/>
        <w:t xml:space="preserve">Sagemcom Energy &amp; Telecom Tunisia in January 2011. These two companies develop a  </w:t>
        <w:br/>
        <w:t xml:space="preserve">service activity of production of components and electronic subassemblies.  </w:t>
        <w:br/>
        <w:t xml:space="preserve">3. The operation, formalized by a purchase promise dated November 18, 2011, consists of  </w:t>
        <w:br/>
        <w:t xml:space="preserve">the acquisition of all shares and voting rights of the targets, subject to the condition  </w:t>
        <w:br/>
        <w:t xml:space="preserve">precedent of the transfer of certain assets2 to the benefit of Sagemcom B.  </w:t>
        <w:br/>
        <w:t xml:space="preserve">4. As it results in the exclusive control of the companies Sagemcom B and  </w:t>
        <w:br/>
        <w:t xml:space="preserve">Sagemcom Energy &amp; Telecom Tunisia by JCA, the notified operation constitutes a  </w:t>
        <w:br/>
        <w:t xml:space="preserve">concentration operation within the meaning of Article L. 430-1 of the Commercial Code. The  </w:t>
        <w:br/>
        <w:t xml:space="preserve">concerned companies together achieve a total worldwide turnover of more than 150  </w:t>
        <w:br/>
        <w:t xml:space="preserve">million euros (companies controlled by Mr. Levie: […] million euros for the fiscal year  </w:t>
        <w:br/>
        <w:t xml:space="preserve">ending December 31, 2010; targets: […] million euros for the same fiscal year). The  </w:t>
        <w:br/>
        <w:t xml:space="preserve">companies controlled by Mr. Levie and the targets achieve, respectively, in France, a  </w:t>
        <w:br/>
        <w:t xml:space="preserve">turnover exceeding 50 million euros (companies controlled by Mr. Levie: […] million euros for  </w:t>
        <w:br/>
        <w:t xml:space="preserve">the fiscal year ending December 31, 2010; targets: […] million euros for the same fiscal year).  </w:t>
        <w:br/>
        <w:t xml:space="preserve">Given these turnover figures, the operation does not have a community dimension. On the other hand, the control thresholds mentioned in I of Article L. 430-2 of  </w:t>
        <w:br/>
        <w:t xml:space="preserve">the Commercial Code are exceeded. This operation is therefore subject to the provisions of  </w:t>
        <w:br/>
        <w:t xml:space="preserve">Articles L. 430-3 and following of the Commercial Code relating to economic concentration.  </w:t>
        <w:br/>
        <w:t xml:space="preserve">II. Delimitation of relevant markets  </w:t>
        <w:br/>
        <w:t xml:space="preserve">5. The parties to the operation are simultaneously active in the sector of providing  </w:t>
        <w:br/>
        <w:t xml:space="preserve">services necessary for the manufacturing of electronic products intended for manufacturers  </w:t>
        <w:br/>
        <w:t xml:space="preserve">of electronic equipment for various industries.  </w:t>
        <w:br/>
        <w:t xml:space="preserve">A. THE MARKETS FOR PRODUCTS AND SERVICES  </w:t>
        <w:br/>
        <w:t xml:space="preserve">6. According to decision-making practice3, services related to electronic production (Electronic  </w:t>
        <w:br/>
        <w:t xml:space="preserve">Manufacturing Services, hereinafter "EMS") encompass all services related to the  </w:t>
        <w:br/>
        <w:t xml:space="preserve">manufacturing of electronic products on behalf of equipment manufacturers (Original Equipment  </w:t>
        <w:br/>
        <w:t xml:space="preserve">Manufacturer, hereinafter "OEM"), namely product design, selection and  </w:t>
        <w:br/>
        <w:t xml:space="preserve">2 These are two production sites, one located in Mouguerre (64), the other in Tunis.  </w:t>
        <w:br/>
        <w:t xml:space="preserve">3 See notably the decisions of the European Commission M.5140 of June 24, 2008, Foxconn/Snmina SCI; M.4766 of August 28, 2007,  </w:t>
        <w:br/>
        <w:t xml:space="preserve">Flextronics / Solectron; M.3583 of October 28, 2004, Flextronics / Nortel; decision 10-DCC-74 of the Competition Authority of July 19,  </w:t>
        <w:br/>
        <w:t xml:space="preserve">2010, regarding the exclusive control of the company Network Concept Finances by the Eolane group; and the letter from the Minister of  </w:t>
        <w:br/>
        <w:t xml:space="preserve">Economy, Finance and Industry dated July 24, 2002, to the advisors of the company Jabil regarding a concentration in the  </w:t>
        <w:br/>
        <w:t>electronic products sector.</w:t>
      </w:r>
    </w:p>
    <w:p>
      <w:r>
        <w:t xml:space="preserve">supply of components, prototyping, production and assembly, testing, failure analysis, logistics, distribution, and after-sales service.  </w:t>
        <w:br/>
        <w:t xml:space="preserve">7. The notifying party argues that services related to the manufacturing of electronic products  </w:t>
        <w:br/>
        <w:t xml:space="preserve">are largely provided internally by equipment manufacturers for their own account. However, decision-making practice4 considers that only services related to the manufacturing of electronic products provided by third parties, and therefore not including services performed internally by equipment manufacturers for their own account, constitute the relevant market.  </w:t>
        <w:br/>
        <w:t xml:space="preserve">8. Decision-making practice5 has also considered, due to the increasing specialization of  </w:t>
        <w:br/>
        <w:t xml:space="preserve">suppliers, a market segmentation based on the industrial sectors to which electronic equipment is  </w:t>
        <w:br/>
        <w:t xml:space="preserve">destined, such as aerospace, medicine, or telecommunications. However, the notifying party believes that operators present in the market have the capacity to offer a wide range of services and to quickly adapt their offer to the demands of their clients, without having to acquire new production units.  </w:t>
        <w:br/>
        <w:t xml:space="preserve">9. In this case, the question of the precise delimitation of the markets concerned by the operation  </w:t>
        <w:br/>
        <w:t xml:space="preserve">may remain open in that, regardless of the delimitation hypothesis retained, the conclusions of the competitive analysis will remain unchanged.  </w:t>
        <w:br/>
        <w:t xml:space="preserve">B. THE GEOGRAPHICAL MARKETS  </w:t>
        <w:br/>
        <w:t xml:space="preserve">10. Decision-making practice6 has considered that the markets for services related to the manufacturing of  </w:t>
        <w:br/>
        <w:t xml:space="preserve">electronic products were at least of European dimension, if not global.  </w:t>
        <w:br/>
        <w:t xml:space="preserve">11. However, the question of the precise geographical delimitation of the markets concerned may be left open in that, regardless of the delimitation retained, the operation is not likely to harm competition.  </w:t>
        <w:br/>
        <w:t xml:space="preserve">III. Competitive analysis  </w:t>
        <w:br/>
        <w:t xml:space="preserve">12. In the global market for subcontracting services related to the manufacturing of electronic  </w:t>
        <w:br/>
        <w:t xml:space="preserve">products at the worldwide level, the new entity will hold a market share of [0-5]% and  </w:t>
        <w:br/>
        <w:t xml:space="preserve">will face competition from major operators such as Foxconn – Hon Hai ([10-20]%), Flextronics ([5-10]%) or Jabil (approximately [0-5]%). Similarly, at the European level, the market share of the new entity remains very limited (approximately [0-5]%). It will face competition from the same operators, namely Foxconn – Hon Hai ([20-30]%), Flextronics ([10-20]%) or Jabil (between [5-10] and [10-20]%).  </w:t>
        <w:br/>
        <w:t xml:space="preserve">13. In the event of a segmentation taking into account the industrial sector to which the electronic equipment is  </w:t>
        <w:br/>
        <w:t xml:space="preserve">destined, the operation will not give rise to any overlap,  </w:t>
        <w:br/>
        <w:t xml:space="preserve">4 Decisions of the European Commission, M.5140, cited above, and of the Competition Authority, 10-DCC-74, cited above.  </w:t>
        <w:br/>
        <w:t xml:space="preserve">5 Id.  </w:t>
        <w:br/>
        <w:t>6 Id.</w:t>
      </w:r>
    </w:p>
    <w:p>
      <w:r>
        <w:rPr>
          <w:b/>
        </w:rPr>
        <w:t>[Pages 4–4]</w:t>
      </w:r>
    </w:p>
    <w:p>
      <w:r>
        <w:t xml:space="preserve">assuming a segmentation taking into account the industrial field to which the electronic equipment is intended, the operation will not result in any overlap,  </w:t>
        <w:br/>
        <w:t xml:space="preserve">4 European Commission Decisions, M.5140, cited above and from the Competition Authority, 10-DCC-74, cited above.  </w:t>
        <w:br/>
        <w:t xml:space="preserve">5 Id.  </w:t>
        <w:br/>
        <w:t>6 Id.</w:t>
      </w:r>
    </w:p>
    <w:p>
      <w:r>
        <w:t xml:space="preserve">JCA generates almost all of its revenue in the automotive and medical sectors, while the targets generate the vast majority of their revenue in the energy, industrial automation, telecommunications, telematics, and household appliances sectors.  </w:t>
        <w:br/>
        <w:t xml:space="preserve">14. Given these elements, the operation is not likely to harm competition.  </w:t>
        <w:br/>
        <w:t xml:space="preserve">IV. Ancillary Restrictions  </w:t>
        <w:br/>
        <w:t xml:space="preserve">15. The memorandum of understanding between the parties to the operation provides for ancillary restrictions in the form of purchase and delivery obligations and a non-compete clause. It is necessary to examine whether these are directly related and necessary to the operation.  </w:t>
        <w:br/>
        <w:t xml:space="preserve">16. In this case, the purchase and delivery obligations are defined by two supply contracts under which the targets commit to continue supplying the seller (Sagemcom group) with the electronic products they produced for the seller prior to the operation for a total duration of […] years. Furthermore, these contracts only provide for a minimum purchase amount and guarantee exclusivity of supply for […] months. If the duration of the purchase and delivery obligations does not exceed what is accepted by the European Commission ([…] years), a supply contract containing an exclusivity clause and not concerning specified quantities cannot be considered as directly related and necessary to the operation.  </w:t>
        <w:br/>
        <w:t xml:space="preserve">17. Moreover, the non-compete clause, while it does apply to the scope of the target activities, has a duration of […] years, which exceeds the generally accepted duration of […] years. Therefore, it is not strictly related and necessary to the operation.  </w:t>
        <w:br/>
        <w:t xml:space="preserve">DECIDES  </w:t>
        <w:br/>
        <w:t xml:space="preserve">Sole Article: the operation notified under number 11-250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