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https://www.autoritedelaconcurrence.fr/fr/decision-de-controle-des-concentrations/relative-la-prise-de-controle-exclusif-des-societes-12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15-DCC-107 of August 7, 2015  </w:t>
        <w:br/>
        <w:t xml:space="preserve">regarding the exclusive control acquisition of the companies NextiraOne France  </w:t>
        <w:br/>
        <w:t xml:space="preserve">and NextiraOne Experts by the company Butler Industries  </w:t>
        <w:br/>
        <w:t xml:space="preserve">The Competition Authority,  </w:t>
        <w:br/>
        <w:t xml:space="preserve">Having regard to the notification file sent to the mergers department on June 2, 2015, and declared  </w:t>
        <w:br/>
        <w:t xml:space="preserve">complete on July 8, 2015, concerning the exclusive control acquisition of the companies NextiraOne France  </w:t>
        <w:br/>
        <w:t xml:space="preserve">and NextiraOne Experts by the company Butler Industries, materialized by an offer dated  </w:t>
        <w:br/>
        <w:t xml:space="preserve">May 15, 2015, supplemented on May 29 and June 3, 2015, as well as by two judgments of the Paris Commercial Court dated June 22, 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companies NextiraOne France  </w:t>
        <w:br/>
        <w:t xml:space="preserve">and NextiraOne Experts, active in the sector of IT services for businesses, by the company Butler Industries.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point I of Article L. 430-2 of the Commercial Code are exceeded. The present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15-086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