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https://www.autoritedelaconcurrence.fr/fr/decision-de-controle-des-concentrations/relative-la-prise-de-controle-exclusif-des-societes-15</w:t>
      </w:r>
    </w:p>
    <w:p>
      <w:r>
        <w:t>Pages translated : 2</w:t>
      </w:r>
    </w:p>
    <w:p/>
    <w:p>
      <w:r>
        <w:rPr>
          <w:b/>
        </w:rPr>
        <w:t>[Pages 1–2]</w:t>
      </w:r>
    </w:p>
    <w:p>
      <w:r>
        <w:t xml:space="preserve">FRENCH REPUBLIC  </w:t>
        <w:br/>
        <w:t xml:space="preserve">Decision No. 15-DCC-46 of April 23, 2015  </w:t>
        <w:br/>
        <w:t xml:space="preserve">regarding the exclusive control acquisition of the companies Garage de la Gare de Beauchamp and BLV 95 by the company Robert Rousseau Automobile  </w:t>
        <w:br/>
        <w:t xml:space="preserve">The Competition Authority,  </w:t>
        <w:br/>
        <w:t xml:space="preserve">Having regard to the complete notification file submitted to the mergers department on April 8, 2015, concerning the exclusive control acquisition of the company SA Garage de la Gare de Beauchamp and the company BLV 95 by the company Robert Rousseau Automobile, and formalized by a transfer agreement dated March 13,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companies Garage de la Gare de Beauchamp and BLV 95, active in automobile distribution in the city of Pierrelaye (95) by the company Robert Rousseau Automobile, also active in the department of Val d’Oise (95). It constitutes a concentration operation within the meaning of Article L. 430-1 of the Commercial Code. Given the turnover achieved by the companies concerned, the operation does not fall under the jurisdiction of the European Union. However, the control thresholds relating to concentration operations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15-039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