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https://www.autoritedelaconcurrence.fr/fr/decision-de-controle-des-concentrations/relative-la-prise-de-controle-exclusif-des-societes-16</w:t>
      </w:r>
    </w:p>
    <w:p>
      <w:r>
        <w:t>Pages translated : 6</w:t>
      </w:r>
    </w:p>
    <w:p/>
    <w:p>
      <w:r>
        <w:rPr>
          <w:b/>
        </w:rPr>
        <w:t>[Pages 1–3]</w:t>
      </w:r>
    </w:p>
    <w:p>
      <w:r>
        <w:t xml:space="preserve">FRENCH REPUBLIC  </w:t>
        <w:br/>
        <w:t xml:space="preserve">Decision No. 16-DCC-125 of August 24, 2016  </w:t>
        <w:br/>
        <w:t xml:space="preserve">regarding the exclusive control of the companies Clinique Esquirol Saint Hilaire and Ware Système by Médipôle Partenaires  </w:t>
        <w:br/>
        <w:t xml:space="preserve">The Competition Authority,  </w:t>
        <w:br/>
        <w:t xml:space="preserve">Having regard to the notification file submitted in full to the concentrations service on July 26, 2016, regarding the exclusive control of the companies Clinique Esquirol Saint Hilaire and Ware Système by the company Médipôle Partenaires, a subsidiary of the Bridgepoint group, formalized by draft share transfer and guarantee agreements dated May 26, 2016;  </w:t>
        <w:br/>
        <w:t xml:space="preserve">Having regard to Book IV of the Commercial Code relating to price freedom and competition, and in particular its Articles L. 430-1 to L. 430-10;  </w:t>
        <w:br/>
        <w:t xml:space="preserve">Adopts the following decision:  </w:t>
        <w:br/>
        <w:t xml:space="preserve">I. The concerned companies and the operation  </w:t>
        <w:br/>
        <w:t xml:space="preserve">1. The company Médipôle Partenaires SAS (hereinafter, "Médipôle Partenaires") is a subsidiary of the company Bridgepoint SAS, which is part of a group of management companies controlled by the English private equity firm, Bridgepoint Advisors Group Limited. The latter manages funds on behalf of third-party investors. The main activities of the Bridgepoint group include financial investment, management of equity stakes in companies, and management of these companies. Bridgepoint notably controls the companies Médipôle Partenaires, C2S, and Diaverum, which together comprise 92 healthcare establishments located in France1. These establishments primarily offer services in medicine, surgery, obstetrics, follow-up care and rehabilitation, dialysis services, and home hospitalization. Bridgepoint is exclusively owned by its employees, none of whom can exert a decisive influence over the company.  </w:t>
        <w:br/>
        <w:t xml:space="preserve">2. The company Clinique Esquirol Saint Hilaire SAS (hereinafter, "CESH") and the company Ware Système SAS (hereinafter, "Ware Système") are currently owned by the company Harpin SAS (hereinafter, "Harpin"), a subsidiary of Roquelor SAS. CESH operates two private clinics located in Agen (47): the Esquirol Saint Hilaire clinic, which primarily offers services in medicine, surgery, obstetrics, and follow-up care and rehabilitation, and the Calabet clinic, which conducts chemotherapy activities. Ware Système owns the company Hosys, specialized in the design, development, and marketing of software, logistical support, and information systems specific to the hospital sector2.  </w:t>
        <w:br/>
        <w:t xml:space="preserve">3. Pursuant to draft share transfer and guarantee agreements dated May 26, 2016, the transaction involves the acquisition by Médipôle Partenaires of the entire capital and voting rights of CESH and Ware Système. As it results in the acquisition of exclusive control of CESH and Ware Système by Médipôle Partenaires, the notified transaction constitutes a concentration within the meaning of Article L. 430-1 of the Commercial Code.  </w:t>
        <w:br/>
        <w:t xml:space="preserve">4. The concerned companies together achieve a total worldwide turnover excluding taxes of more than 150 million euros (Médipôle Partenaires: […] euros for the fiscal year ending December 31, 2015; CESH: 50.5 million euros for the fiscal year ending June 30, 2015; Ware Système: 0.7 million euros for the fiscal year ending December 31, 2015). Each of these companies has achieved a turnover in France exceeding 50 million euros (Médipôle Partenaires: […] euros for the fiscal year ending December 31, 2015; CESH: 50.5 million euros for the fiscal year ending June 30, 2015; Ware Système: 0.7 million euros for the fiscal year ending December 31, 2015).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  </w:t>
        <w:br/>
        <w:t xml:space="preserve">II. Delimitation of relevant markets  </w:t>
        <w:br/>
        <w:t xml:space="preserve">The transaction involves an overlap of activities in the sector of the provision of diagnostics and care in healthcare establishments.  </w:t>
        <w:br/>
        <w:t xml:space="preserve">A. DELIMITATION OF SERVICE MARKETS  </w:t>
        <w:br/>
        <w:t xml:space="preserve">5. Regarding the markets for the provision of diagnostics and hospital care in France, national and European decision-making practice3 considers that it is not relevant to distinguish the supply based on whether it comes from private or public establishments. Indeed, in France, the patient is free to choose their establishment, public or private, without economic consideration since the reimbursement of care does not depend on the status of the establishment where the care was provided. Moreover, patients' use of complementary insurance tends to increase the freedom of choice for patients regarding the establishment in which they wish to be treated concerning the non-care portion of hospitalization costs (the "hotel" services). Furthermore, whether public or private, hospital establishments are intended to welcome all patients, without economic or social consideration. Finally, all hospital establishments established in France are subject to a common regulatory and normative framework that defines the conditions for exercising their activity, regulated at the regional level by the Regional Health Agencies (hereinafter, "ARS") with which they enter into contracts for objectives and means.  </w:t>
        <w:br/>
        <w:t xml:space="preserve">6. Competition authorities4, however, distinguish markets for the provision of diagnostics and hospital care by type of activity to take into account the strong specialization of practitioners and the services of hospital establishments, as well as the necessity for a hospital establishment to obtain specific authorizations from the ARS for the exercise of certain medical or surgical specialties. Decision-making practice has thus considered a broad segmentation, by "groups of specialized activity" corresponding to the major disciplines defined by the Public Health Code (medicine, surgery, obstetrics, neonatology, psychiatry, follow-up care and rehabilitation, long-term care, oncology and radiotherapy, diagnostic activities).  </w:t>
        <w:br/>
        <w:t xml:space="preserve">7. The Competition Authority5 has also considered a narrower segmentation of the markets for diagnostics and hospital care, by "major category of diagnosis" (hereinafter, "CMD") according to the classification of acts established by the ARS. The Authority considered, while leaving the question open, this segmentation relevant since it allows for the distinction of all medical acts performed within hospital establishments according to both medical and functional criteria, taking into account the parts of the body treated, and economic criteria, with stays or admissions classified in the same group involving the use of similar resources. The Authority has, moreover, considered sub-segmenting each CMD based on the presence of an operative act or not (below, "AO" in the presence of an operative act and "ANO" in the absence of an operative act)6.  </w:t>
        <w:br/>
        <w:t xml:space="preserve">8. Finally, competition authorities have questioned the existence of distinct markets for home hospitalization on the one hand and the provision of dialysis care on the other hand. Regarding dialysis activities, however, it follows from European decision-making practice that this type of care is not likely to be distinguished from other comparable hospital care offers. The Authority has, however, considered a distinct segment of care falling under CMD 28 (sessions) to which dialysis care belongs.  </w:t>
        <w:br/>
        <w:t xml:space="preserve">9. In any case, the question of the exact definition of the markets for the provision of diagnostics and hospital care can be left open as the conclusions of the competitive analysis remain unchanged, regardless of the delimitation retained.  </w:t>
        <w:br/>
        <w:t xml:space="preserve">4 Ibid.  </w:t>
        <w:br/>
        <w:t xml:space="preserve">5 Decisions of the Competition Authority No. 15-DCC-155 of November 30, 2015, No. 15-DCC-146 of October 26, 2015, No. 14-DCC-79 of June 11, 2014, No. 13-DCC-164 of November 21, 2013, No. 11-DCC-57 of April 4, 2011, No. 11-DCC-37 of March 7, 2011, No. 09-DCC-68 of November 25, 2009.  </w:t>
        <w:br/>
        <w:t>6 Decision of the Competition Authority No. 14-DCC-141 of September 24, 2014 and decision of the Competition Authority No. 14-DCC-79 of June 11, 2014.</w:t>
      </w:r>
    </w:p>
    <w:p>
      <w:r>
        <w:rPr>
          <w:b/>
        </w:rPr>
        <w:t>[Pages 4–6]</w:t>
      </w:r>
    </w:p>
    <w:p>
      <w:r>
        <w:t xml:space="preserve">B. GEOGRAPHICAL DELIMITATION OF MARKETS  </w:t>
        <w:br/>
        <w:t xml:space="preserve">10. The European Commission7, without definitively resolving the issue, considers that the markets for the provision of diagnostics and hospital care have a local dimension extending to a radius corresponding to a 30-minute car journey.  </w:t>
        <w:br/>
        <w:t xml:space="preserve">11. National decision-making practice, taking into account the regulatory instruments used by the Regional Health Agencies (ARS), considers that the markets for the provision of diagnostics and hospital care have a local, departmental, or regional dimension, the scope of which depends on the specialty concerned by the healthcare provision market studied8. Competition authorities have notably observed that the size of patient catchment areas varies significantly, not only depending on the establishment and the medical-surgical specialties practiced there, but also depending on the region considered, its population density, and its level of equipment in hospital care establishments. The coverage by health insurance of transportation costs incurred by certain patients tends to increase their willingness to travel. In previous decisions, the Authority has considered that patients could undertake a travel time not exceeding one hour in certain departments9.  </w:t>
        <w:br/>
        <w:t xml:space="preserve">12. In any case, the question of the exact geographical delimitation of the markets for the provision of diagnostics and hospital care can be left open insofar as the conclusions of the competitive analysis remain unchanged, regardless of the hypothesis retained.  </w:t>
        <w:br/>
        <w:t xml:space="preserve">III. Competitive Analysis  </w:t>
        <w:br/>
        <w:t xml:space="preserve">A. INTRODUCTION  </w:t>
        <w:br/>
        <w:t xml:space="preserve">13. To estimate market shares, the notifying party used the national public database of the medicalization program of information systems of the technical agency for information on hospitalization, which compiles statistics from French health establishments10.  </w:t>
        <w:br/>
        <w:t xml:space="preserve">14. As noted by the Authority in previous decisions11, the examination of the horizontal effects of the operation must also take into account the specific pricing mechanisms in the relevant markets. Indeed, the rates for care services provided by public and private establishments are regulated and set annually at the national level, according to a system of activity-based pricing (known as "T2A"). Each care activity corresponds to a fixed rate for the service that the establishment can charge. Health establishments cannot deviate from these rates. Additional fees for medical acts are solely at the initiative of the practitioners and not of the establishment in which they carry out their activities. Consequently, private clinics cannot unilaterally increase the rates of contracted care12 they provide. These fixed rates concern the majority of care services. For the rest, ancillary services (known as "hotel" services) remain at the discretion of the establishments.  </w:t>
        <w:br/>
        <w:t xml:space="preserve">15. The operation does not result in overlapping activities either at the departmental level, nor within a 30-minute car journey radius around each target establishment, nor within a 60-minute car journey radius around each target establishment. However, the operation does result in overlapping activities at the regional level13.  </w:t>
        <w:br/>
        <w:t xml:space="preserve">B. EFFECTS OF THE OPERATION IN THE FORMER AQUITAINE REGION  </w:t>
        <w:br/>
        <w:t xml:space="preserve">16. In the former Aquitaine region14, regardless of the segmentation retained, the market share of the new entity following the operation will not exceed 25%, except for the non-surgical act segment of CMD 1215 where the market share of the new entity will reach 25.8%. However, the new entity will continue to face competition from several health establishments, both public and private, such as the Bordeaux University Hospital, the Libourne Hospital, the Bergonie Institute, and the Bordeaux-Nord Aquitaine Polyclinic.  </w:t>
        <w:br/>
        <w:t xml:space="preserve">17. The operation is therefore not likely to harm competition through horizontal effects on the markets for the provision of diagnostics and hospital care at the regional level.  </w:t>
        <w:br/>
        <w:t xml:space="preserve">12 It should be noted that certain so-called comfort care, covered by CMD 23, are not contracted.  </w:t>
        <w:br/>
        <w:t xml:space="preserve">13 In the sense of the previous administrative regions.  </w:t>
        <w:br/>
        <w:t xml:space="preserve">14 Former designation.  </w:t>
        <w:br/>
        <w:t xml:space="preserve">15 Conditions of the male genital system.  </w:t>
        <w:br/>
        <w:t>5</w:t>
      </w:r>
    </w:p>
    <w:p>
      <w:r>
        <w:t xml:space="preserve">DECIDES  </w:t>
        <w:br/>
        <w:t xml:space="preserve">Article unique: The operation notified under number 16-117 is authorized.  </w:t>
        <w:br/>
        <w:t xml:space="preserve">The Vice-President,  </w:t>
        <w:br/>
        <w:t xml:space="preserve">Emmanuel Combe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