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https://www.autoritedelaconcurrence.fr/fr/decision-de-controle-des-concentrations/relative-la-prise-de-controle-exclusif-des-societes-17</w:t>
      </w:r>
    </w:p>
    <w:p>
      <w:r>
        <w:t>Pages translated : 6</w:t>
      </w:r>
    </w:p>
    <w:p/>
    <w:p>
      <w:r>
        <w:rPr>
          <w:b/>
        </w:rPr>
        <w:t>[Pages 1–3]</w:t>
      </w:r>
    </w:p>
    <w:p>
      <w:r>
        <w:t>FRENCH REPUBLIC</w:t>
        <w:br/>
        <w:t>Decision No. 16-DCC-160 of October 24, 2016</w:t>
        <w:br/>
        <w:t>regarding the exclusive control of the companies Cardinal,</w:t>
        <w:br/>
        <w:t>Menuiserie Cardinal, Le Chêne Constructions, and Les Crépis d’Armor</w:t>
        <w:br/>
        <w:t>by the company NGE SAS</w:t>
        <w:br/>
        <w:t>The Competition Authority,</w:t>
        <w:br/>
        <w:t>Having regard to the notification file sent to the merger service on September 2, 2016, and declared complete on September 21, 2016, regarding the exclusive control of the companies Cardinal, Menuiserie Cardinal, Le Chêne Constructions, and Les Crépis d’Armor by the company NGE SAS, formalized by a share transfer and guarantee agreement dated July 31, 2016;</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companies concerned and the operation</w:t>
        <w:br/>
        <w:t>1. NGE SAS (hereinafter "NGE") is a simplified joint-stock company exclusively controlled by the holding company Financière Saint Anne (hereinafter "FSA") which holds […] % of its capital and […] % of the voting rights. The remainder of the capital is held by several minority shareholders, none of whom have veto rights that would grant them a decisive influence over the strategic decisions of the company. NGE specializes in public works and conducts its activities through several subsidiaries (hereinafter "the NGE group"). The NGE group is organized around six main areas of activity: (i) earthworks and various roads and networks, (ii) piping and networks, (iii) geotechnical and security works, (iv) civil engineering, (v) road and road equipment, and (vi) rail.</w:t>
        <w:br/>
        <w:t>2. FSA is exclusively controlled by the company Prométhée Group, the parent company of the Prométhée group, which is itself controlled by Mr. Joël Rousseau. Apart from the NGE group which encompasses construction activities, the activities of the Prométhée group are divided into different sectors: the hotel sector, the energy sector, the quarry sector, and the cosmetics sector.</w:t>
        <w:br/>
        <w:t>3. The companies Cardinal, Menuiserie Cardinal, Le Chêne Constructions, and Les Crépis d’Armor (hereinafter collectively referred to as "the targets") are owned by Holding Cardinal Edifice, the parent company of the Cardinal Edifice group. The company Cardinal is active in the construction sector of all types of buildings and covers the three major stages of the project: design, execution, and operation. It is also a builder of individual houses and ensures the design and construction of custom houses. The company Menuiserie Cardinal is engaged in the study, manufacture, and installation of frameworks and the works of exterior and interior carpentry for new or renovation projects. The company Le Chêne Constructions is engaged in structural and masonry works. Finally, Les Crépis d’Armor is a company specialized in facade renovation and external insulation.</w:t>
        <w:br/>
        <w:t>4. The operation, formalized by a share transfer and guarantee agreement dated July 31, 2016, consists of the acquisition of the entire capital of the target companies by NGE. This operation, which results in the exclusive control of the target by NGE, constitutes a concentration within the meaning of Article L. 430-1 of the Commercial Code.</w:t>
        <w:br/>
        <w:t>5. The companies concerned generate a total worldwide turnover excluding taxes of more than 150 million euros (Prométhée group: […] euros for the fiscal year ending December 31, 2015; the targets: […] euros for the same fiscal year). Each of these companies has generated in France a turnover exceeding 50 million euros (Prométhée group: […] euros for the fiscal year ending December 31, 2015; the targets: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6. Within construction activities, decision-making practice distinguishes between, on the one hand, the building sector, and on the other hand, the public works sector. NGE is active in the public works and building markets, while the target is present only in the building market. The first market, however, requires an analysis in terms of conglomerate effects.</w:t>
      </w:r>
    </w:p>
    <w:p>
      <w:r>
        <w:t>A. THE PUBLIC WORKS SECTOR</w:t>
        <w:br/>
        <w:t>1. PRODUCT MARKETS</w:t>
        <w:br/>
        <w:t>7. Based on a classification established by the National Federation of Public Works ("FNTP")1, national competition authorities have considered2 that given the level of specialization observed for these different categories of works, it is appropriate to distinguish several markets within the public works sector, namely:</w:t>
        <w:br/>
        <w:t>- within road works, the markets for the manufacture of road surfacing products, on the one hand, and a market for the laying of these surfaces, on the other hand;</w:t>
        <w:br/>
        <w:t>- the markets for open-air earthworks (simple and medium and in large mass);</w:t>
        <w:br/>
        <w:t>- the markets for railway works;</w:t>
        <w:br/>
        <w:t>- the markets for special foundations;</w:t>
        <w:br/>
        <w:t>- the markets for network works, piping and others, underground (including water sector works);</w:t>
        <w:br/>
        <w:t>- the general civil engineering markets, primarily including civil engineering works for industrial equipment, civil engineering for treatment plants and reservoirs, and secondly, underground works (underground circulation, water supply or drainage works, storage) and thirdly, works in maritime or river sites.</w:t>
        <w:br/>
        <w:t>8. There is no need to revisit this delimitation in the context of the present operation.</w:t>
        <w:br/>
        <w:t>9. In this case, NGE is active in the markets for earthworks and special foundations, while the targets subcontract these services in response to calls for tenders.</w:t>
        <w:br/>
        <w:t>2. GEOGRAPHICAL MARKETS</w:t>
        <w:br/>
        <w:t>10. National decision-making practice has noted3 that, in their vast majority, public works activities have a local dimension. It has also not been excluded that certain product markets may have a national dimension.</w:t>
        <w:br/>
        <w:t>11. The question of the exact geographical definition may, however, remain open insofar as, regardless of the delimitation retained, the conclusions of the competitive analysis will remain unchanged.</w:t>
        <w:br/>
        <w:t>1 The FNTP distinguishes twelve main categories of works: road works, general earthworks, underground works, long-distance piping and industrial piping network works, water sector works, electrical works, special foundations, maritime site works, railway works, civil engineering works for industrial equipment, civil engineering works for industrial equipment in metal construction, and agricultural engineering works.</w:t>
        <w:br/>
        <w:t>2 See decisions No. 14-DCC-195 of December 31, 2014, regarding the exclusive control of the company Juwi EnR by the company Neoen, No. 09-DCC-43 of the Competition Authority dated September 14, 2009, the opinion of the Competition Council No. 01-A-08 of June 5, 2001, regarding the acquisition of the GTM group by the company Vinci, as well as the letter from the Minister of Economy dated December 1, 2008, No. C2008-116.</w:t>
        <w:br/>
        <w:t>3 See in particular the decisions of the Authority No. 10-DCC-05 of January 21, 2010, regarding the exclusive control of the company Cari Holding by the company Fayat and No. 09-DCC-43 of the Competition Authority, as well as the letter from the Minister of Economy No. C2008-116 mentioned above.</w:t>
      </w:r>
    </w:p>
    <w:p>
      <w:r>
        <w:rPr>
          <w:b/>
        </w:rPr>
        <w:t>[Pages 4–6]</w:t>
      </w:r>
    </w:p>
    <w:p>
      <w:r>
        <w:t>B. THE CONSTRUCTION SECTOR</w:t>
        <w:br/>
        <w:t>1. PRODUCT MARKETS</w:t>
        <w:br/>
        <w:t>12. In the construction sector, decision-making practice distinguishes between structural work, which concerns the building's structure (foundation, walls, roofing, etc.), and finishing work, which concerns the dressing and equipment of said structure (various supply networks, insulation, etc.)4.</w:t>
        <w:br/>
        <w:t>13. Whether within structural work or finishing work, decision-making practice considers an initial segmentation based on whether the work is performed for professional clients (public and commercial) or private individuals. A second segmentation based on the building's use, distinguishing between residential and non-residential buildings, has also been considered.</w:t>
        <w:br/>
        <w:t>14. More specifically regarding finishing work, competition authorities5 have questioned a possible segmentation by trade, distinguishing painting work (industrial, exterior, and façade painting), plastering work (application of powder plaster and plasterboard, excluding the installation of plasterboard forming ceilings and partitions), ceiling work (installation of stretched, suspended, or plasterboard ceilings), partition work (installation of separation partitions, modular partitions, or plasterboard partitions), and carpentry (on wood, plastic, or metal).</w:t>
        <w:br/>
        <w:t>15. In this case, the activities of the parties overlap in the structural work markets. The target is also active in the finishing work markets.</w:t>
        <w:br/>
        <w:t>16. There is no need to challenge these delimitations during the examination of the present operation. In any case, in the absence of competitive issues, the question of the exact delimitation of the construction markets may remain open.</w:t>
        <w:br/>
        <w:t>2. GEOGRAPHICAL MARKETS</w:t>
        <w:br/>
        <w:t>17. Decision-making practice retains a national dimension for the markets in the construction sector6.</w:t>
        <w:br/>
        <w:t>18. National decision-making practice has also considered, in the specific case of finishing work, a regional dimension7 due in particular to the significant number of local players. However, national practice notes that for certain large-scale projects, the dimension of the finishing work markets may exceed the region.</w:t>
        <w:br/>
        <w:t>4 See the decisions of the Authority n° 13-DCC-88 of July 23, 2013, regarding the exclusive control of Carrard Services by TFN Propreté, n° 10-DCC-82 of July 28, 2010, regarding the exclusive control of the Faceo group by Vinci Energies, n° 10-DCC-05 of January 21, 2010, regarding the exclusive control of Cari Holding by Fayat, the letter from the Minister of Economy, Finance and Employment dated November 15, 2007, to the advisors of Spie Batignolles SA, regarding a concentration in the finishing work sector of construction (C2007-132).</w:t>
        <w:br/>
        <w:t>5 See the letter from the Minister of Economy n° C2007-132 mentioned above.</w:t>
        <w:br/>
        <w:t>6 See in particular the decision of the Authority n° 10-DCC-05 mentioned above and the decision of the European Commission n° COMP/M.3864, FIMAG / Züblin of October 14, 2005.</w:t>
        <w:br/>
        <w:t>7 See the decision of the Authority n° 13-DCC-88 of July 23, 2013, regarding the exclusive control of Carrard Services by TFN Propreté, n° 10-DCC-05 mentioned above, and the decision of the Minister n° C2007-132.</w:t>
      </w:r>
    </w:p>
    <w:p>
      <w:r>
        <w:t>19. In this case, the question of the exact delimitation of the markets may be left open insofar as, regardless of the delimitation retained, the conclusions of the competitive analysis will remain unchanged.</w:t>
        <w:br/>
        <w:t>III. Competitive Analysis</w:t>
        <w:br/>
        <w:t>A. HORIZONTAL EFFECTS</w:t>
        <w:br/>
        <w:t>20. The activities of the parties overlap in the structural work market. According to the parties' estimates, the combined market share of the new entity is less than [0-5]% in this market. Following the operation, it will face competition from numerous competitors, the market being highly fragmented, with the main ones being Vinci ([5-10]% market share), Bouygues ([5-10]%), and Eiffage ([0-5]%).</w:t>
        <w:br/>
        <w:t>21. Furthermore, the combined market share of the parties does not exceed [0-5]% in any of the potential sub-segments of the market. The notifying party has not been able to estimate the market shares of competitors in these sub-segments but specifies that Vinci, Bouygues, and Eiffage are the main operators.</w:t>
        <w:br/>
        <w:t>22. Given the low market share of the new entity, the proposed operation is not likely to harm competition through horizontal effects in the construction market.</w:t>
        <w:br/>
        <w:t>B. CONGLOMERATE EFFECTS</w:t>
        <w:br/>
        <w:t>23. The Competition Authority indicates in its guidelines that "a concentration has conglomerate effects when the new entity extends or strengthens its presence in several markets whose connection may allow it to exploit a leverage effect." Generally, a conglomerate concentration opens the possibility of developing synergies between the different components of the bundled offer. However, certain conglomerate concentrations may produce restrictive competition effects when they allow the technical or commercial linking of the sales or purchases of the components of the grouping in a way that locks the market and excludes competitors. The guidelines of the Competition Authority note that it is unlikely that a concentration will pose a risk of conglomerate effect if the new entity does not have a strong position in a market from which it can leverage and refer, in this regard, to a threshold of 30% market share.</w:t>
        <w:br/>
        <w:t>24. In this case, the target is able, prior to the operation, to offer its clients packages that include both structural and finishing work in construction, as it is active in both markets. Following the operation, it will see its presence strengthened in the structural work market. Furthermore, the new entity will be able to offer construction services for buildings (structural and finishing work) alongside earthworks and special foundations (public works) as part of responses to tenders for so-called "multi-trade" markets.</w:t>
      </w:r>
    </w:p>
    <w:p>
      <w:r>
        <w:t>25. Following the operation, the new entity will have a low market share, less than [0-5]%, across all relevant markets in terms of conglomerate effects, at both the national and regional levels, as applicable, regardless of the segmentation considered.</w:t>
        <w:br/>
        <w:t>26. The parties also argue that, in public tenders, public works lots are always distinct from lots aimed at building construction, except for earthworks and special foundations. Similarly, regarding private tenders, the parties explain that public works other than earthworks and special foundations (roads, railways, civil engineering, etc.) are never combined with building construction.</w:t>
        <w:br/>
        <w:t>27. The operation is therefore not likely to harm competition through conglomerate effects.</w:t>
        <w:br/>
        <w:t>DECIDES</w:t>
        <w:br/>
        <w:t>Sole Article: The operation notified under number 16-166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