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w:t>
      </w:r>
    </w:p>
    <w:p>
      <w:r>
        <w:t>Pages translated : 2</w:t>
      </w:r>
    </w:p>
    <w:p/>
    <w:p>
      <w:r>
        <w:rPr>
          <w:b/>
        </w:rPr>
        <w:t>[Pages 1–2]</w:t>
      </w:r>
    </w:p>
    <w:p>
      <w:r>
        <w:t xml:space="preserve">FRENCH REPUBLIC  </w:t>
        <w:br/>
        <w:t xml:space="preserve">Decision No. 12-DCC-29 of February 29, 2012  </w:t>
        <w:br/>
        <w:t xml:space="preserve">regarding the exclusive control of the companies Valtrieux, Norest, and Viniben by the company ITM Alimentaire Ouest  </w:t>
        <w:br/>
        <w:t xml:space="preserve">The Competition Authority,  </w:t>
        <w:br/>
        <w:t xml:space="preserve">Having regard to the notification file submitted in full to the merger service on February 9, 2012,  </w:t>
        <w:br/>
        <w:t xml:space="preserve">regarding the exclusive control of the companies Valtrieux, Norest, and Viniben by the company ITM Alimentaire Ouest;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of the companies Valtrieux, Norest, and Viniben, which operate food retail outlets under the brands Intermarché and Netto in the towns of Pontrieux and Saint-Agathon (22), by the company ITM Alimentaire Ouest.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12-018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