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https://www.autoritedelaconcurrence.fr/fr/decision-de-controle-des-concentrations/relative-la-prise-de-controle-exclusif-des-societes-20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18-DCC-185 of October 31, 2018  </w:t>
        <w:br/>
        <w:t xml:space="preserve">regarding the exclusive control acquisition of the companies  </w:t>
        <w:br/>
        <w:t xml:space="preserve">Transports G Gautier, Transports Merret, and Services Location  </w:t>
        <w:br/>
        <w:t xml:space="preserve">Maintenance by the company Hivest Capital Partners  </w:t>
        <w:br/>
        <w:t xml:space="preserve">The Competition Authority,  </w:t>
        <w:br/>
        <w:t xml:space="preserve">Having regard to the complete notification file submitted to the mergers department on October 3, 2018,  </w:t>
        <w:br/>
        <w:t xml:space="preserve">concerning the exclusive control acquisition of the companies Transports G Gautier, Transports Merret, and  </w:t>
        <w:br/>
        <w:t xml:space="preserve">Services Location Maintenance by the company Hivest Capital Partners, and materialized by a purchase offer dated July 27,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company Hivest Capital  </w:t>
        <w:br/>
        <w:t xml:space="preserve">Partners of the companies Transports G Gautier and Transports Merret, both belonging to the  </w:t>
        <w:br/>
        <w:t xml:space="preserve">STG group, active in the sector of road freight transport services, industrial messaging, chartering, and logistics, as well as the company Services Location  </w:t>
        <w:br/>
        <w:t xml:space="preserve">Maintenance which is active in the long-term rental market for industrial vehicles. It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18-231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