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https://www.autoritedelaconcurrence.fr/fr/decision-de-controle-des-concentrations/relative-la-prise-de-controle-exclusif-des-societes-21</w:t>
      </w:r>
    </w:p>
    <w:p>
      <w:r>
        <w:t>Pages translated : 2</w:t>
      </w:r>
    </w:p>
    <w:p/>
    <w:p>
      <w:r>
        <w:rPr>
          <w:b/>
        </w:rPr>
        <w:t>[Pages 1–2]</w:t>
      </w:r>
    </w:p>
    <w:p>
      <w:r>
        <w:t xml:space="preserve">FRENCH REPUBLIC  </w:t>
        <w:br/>
        <w:t xml:space="preserve">Decision No. 18-DCC-19 of February 2, 2018  </w:t>
        <w:br/>
        <w:t xml:space="preserve">regarding the exclusive control acquisition of the companies Cegelease and Eurofarmat by the company Groupe Société Générale  </w:t>
        <w:br/>
        <w:t xml:space="preserve">The Competition Authority,  </w:t>
        <w:br/>
        <w:t xml:space="preserve">Having regard to the complete notification file sent to the mergers department on January 8, 2018, concerning the exclusive control acquisition of the companies Cegelease and Eurofarmat by the company Groupe Société Générale, formalized by an acquisition agreement dated December 14, 2017;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acquisition by the company Groupe Société Générale, controlled by Société Générale SA, of the exclusive control of the companies Cegelease and Eurofarmat. It constitutes a concentration within the meaning of Article L. 430-1 of the Commercial Code. Given the turnover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markets for the leasing financing of movable assets for businesses, insurance products, and the distribution of computer products, which are consistently defined by the decision-making practice of the Competition Authority.  </w:t>
        <w:br/>
        <w:t xml:space="preserve">3. Regardless of the segmentations retained, the estimated market shares of the new entity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Single Article: The operation notified under number 17-289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