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https://www.autoritedelaconcurrence.fr/fr/decision-de-controle-des-concentrations/relative-la-prise-de-controle-exclusif-des-societes-22</w:t>
      </w:r>
    </w:p>
    <w:p>
      <w:r>
        <w:t>Pages translated : 2</w:t>
      </w:r>
    </w:p>
    <w:p/>
    <w:p>
      <w:r>
        <w:rPr>
          <w:b/>
        </w:rPr>
        <w:t>[Pages 1–2]</w:t>
      </w:r>
    </w:p>
    <w:p>
      <w:r>
        <w:t xml:space="preserve">FRENCH REPUBLIC  </w:t>
        <w:br/>
        <w:t xml:space="preserve">Decision No. 18-DCC-56 of April 13, 2018  </w:t>
        <w:br/>
        <w:t xml:space="preserve">regarding the exclusive control acquisition of the companies Montpellier Auto Sports SAS, Nîmes Auto Sports SAS, and Arles Auto Sports SAS by the company SSPF SAS  </w:t>
        <w:br/>
        <w:t xml:space="preserve">The Competition Authority,  </w:t>
        <w:br/>
        <w:t xml:space="preserve">Having regard to the complete notification file sent to the mergers department on March 12, 2017, concerning the exclusive control acquisition of the companies Montpellier Auto Sports SAS, Nîmes Auto Sports SAS, and Arles Auto Sports SAS by the company SSPF SAS, and formalized by a share transfer agreement dated February 9,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SSPF SAS, controlled by the Maurin group, of the companies Montpellier Auto Sports SAS, Nîmes Auto Sports SAS, and Arles Auto Sports SAS, which operate three Nissan brand car dealerships, respectively in the departments of Hérault (34), Gard (30), and Bouches-du-Rhône (13). It constitutes a concentration within the meaning of Article L. 430-1 of the Commercial Code. Given the revenues generated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 xml:space="preserve">2. The markets concerned by the operation are the markets for the distribution of motor vehicles, spare parts and automotive accessories, and maintenance and repair services for motor vehicles,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18-038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