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https://www.autoritedelaconcurrence.fr/fr/decision-de-controle-des-concentrations/relative-la-prise-de-controle-exclusif-des-societes-24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19-DCC-40 of March 7, 2019  </w:t>
        <w:br/>
        <w:t xml:space="preserve">regarding the exclusive control acquisition of the companies Automobiles-JLG,  </w:t>
        <w:br/>
        <w:t xml:space="preserve">Établissements Leroux, Haut Anjou Automobiles, JL Guilmault,  </w:t>
        <w:br/>
        <w:t xml:space="preserve">Mayenne Automobiles, Sadac, and SN Laval Automobiles by the company  </w:t>
        <w:br/>
        <w:t xml:space="preserve">Lamirault Schumacher Distribution  </w:t>
        <w:br/>
        <w:t xml:space="preserve">The Competition Authority,  </w:t>
        <w:br/>
        <w:t xml:space="preserve">Having regard to the complete notification file submitted to the mergers department on January 31, 2019,  </w:t>
        <w:br/>
        <w:t xml:space="preserve">concerning the exclusive control acquisition of the companies Automobiles-JLG, Établissements Leroux,  </w:t>
        <w:br/>
        <w:t xml:space="preserve">Haut Anjou Automobiles, JL Guilmault, Mayenne Automobiles, Sadac, and SN Laval  </w:t>
        <w:br/>
        <w:t xml:space="preserve">Automobiles by the company Lamirault Schumacher Distribution and formalized by a letter  </w:t>
        <w:br/>
        <w:t xml:space="preserve">of intent dated October 31,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submitted during the investigation by the notifying parties;  </w:t>
        <w:br/>
        <w:t xml:space="preserve">Adopts the following decision:  </w:t>
        <w:br/>
        <w:t xml:space="preserve">1. The notified operation consists of the exclusive control acquisition by the company Lamirault  </w:t>
        <w:br/>
        <w:t xml:space="preserve">Schumacher Distribution of the companies Automobiles-JLG, Établissements Leroux, Haut Anjou  </w:t>
        <w:br/>
        <w:t xml:space="preserve">Automobiles, JL Guilmault, Mayenne Automobiles, Sadac, and SN Laval Automobiles, which  </w:t>
        <w:br/>
        <w:t xml:space="preserve">operate Renault and Dacia car dealerships in the departments of Ille-et-Vilaine (35), Loire-Atlantique (44), and Mayenne (53). It constitutes a  </w:t>
        <w:br/>
        <w:t xml:space="preserve">concentration operation within the meaning of Article L. 430-1 of the Commercial Code. Given the  </w:t>
        <w:br/>
        <w:t xml:space="preserve">turnover generated by the companies concerned, the operation does not fall under the  </w:t>
        <w:br/>
        <w:t xml:space="preserve">jurisdiction of the European Union. On the other hand, the retail trade control thresholds mentioned in point II of Article L. 430-2 of the Commercial Code are exceeded. The  </w:t>
        <w:br/>
        <w:t xml:space="preserve">present 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19-023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