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https://www.autoritedelaconcurrence.fr/fr/decision-de-controle-des-concentrations/relative-la-prise-de-controle-exclusif-des-societes-26</w:t>
      </w:r>
    </w:p>
    <w:p>
      <w:r>
        <w:t>Pages translated : 2</w:t>
      </w:r>
    </w:p>
    <w:p/>
    <w:p>
      <w:r>
        <w:rPr>
          <w:b/>
        </w:rPr>
        <w:t>[Pages 1–2]</w:t>
      </w:r>
    </w:p>
    <w:p>
      <w:r>
        <w:t>FRENCH REPUBLIC</w:t>
        <w:br/>
        <w:t>Decision No. 19-DCC-184 of October 3, 2019</w:t>
        <w:br/>
        <w:t>regarding the exclusive control acquisition of the companies Tendance and Luance</w:t>
        <w:br/>
        <w:t>by the company JJA</w:t>
        <w:br/>
        <w:t>The Competition Authority,</w:t>
        <w:br/>
        <w:t>Having regard to the complete notification file submitted to the mergers department on</w:t>
        <w:br/>
        <w:t>September 16, 2019, concerning the exclusive control acquisition of the companies Tendance and Luance by</w:t>
        <w:br/>
        <w:t>the company JJA, formalized by an acquisition contract signed on September 10, 2019;</w:t>
        <w:br/>
        <w:t>Having regard to Book IV of the Commercial Code relating to the freedom of prices and competition, and</w:t>
        <w:br/>
        <w:t>notably its Articles L. 430-1 to L. 430-7;</w:t>
        <w:br/>
        <w:t>Having regard to the additional elements provided by the notifying party during the investigation;</w:t>
        <w:br/>
        <w:t>Adopts the following decision:</w:t>
        <w:br/>
        <w:t>1. The notified operation consists of the exclusive control acquisition of the companies Tendance and Luance</w:t>
        <w:br/>
        <w:t>by the company JJA. It constitutes a concentration within the meaning of Article L. 430-1 of the Commercial Code. Given the turnover generated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w:t>
        <w:br/>
        <w:t>2. The markets concerned by the operation are the markets for the supply of decorative items, furniture, garden items, lighting items, toys, leisure and relaxation items, household linen, and tableware items, which are consistently defined by the decision-making practice of the Competition Authority.</w:t>
        <w:br/>
        <w:t>3. Regardless of the segmentations retained, the cumulative market shares of the parties are below 25%.</w:t>
        <w:br/>
        <w:t>4. Considering the elements of the file and in particular point 384 of the guidelines of the Competition Authority relating to the control of concentrations, the operation is not likely to harm competition.</w:t>
      </w:r>
    </w:p>
    <w:p>
      <w:r>
        <w:t>DECIDES</w:t>
        <w:br/>
        <w:t>Sole Article: The operation notified under number 19-150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