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https://www.autoritedelaconcurrence.fr/fr/decision-de-controle-des-concentrations/relative-la-prise-de-controle-exclusif-des-societes-27</w:t>
      </w:r>
    </w:p>
    <w:p>
      <w:r>
        <w:t>Pages translated : 2</w:t>
      </w:r>
    </w:p>
    <w:p/>
    <w:p>
      <w:r>
        <w:rPr>
          <w:b/>
        </w:rPr>
        <w:t>[Pages 1–2]</w:t>
      </w:r>
    </w:p>
    <w:p>
      <w:r>
        <w:t xml:space="preserve">FRENCH REPUBLIC  </w:t>
        <w:br/>
        <w:t xml:space="preserve">Decision No. 19-DCC-253 of December 13, 2019  </w:t>
        <w:br/>
        <w:t xml:space="preserve">regarding the exclusive control acquisition of the companies Générale Automobile de Vierzon and Générale Automobile de Bourges by the Vincent group  </w:t>
        <w:br/>
        <w:t xml:space="preserve">The Competition Authority,  </w:t>
        <w:br/>
        <w:t xml:space="preserve">Having regard to the notification file sent to the mergers department on November 7, 2019, declared complete on November 25, 2019, concerning the exclusive control acquisition of the companies Générale Automobile de Vierzon and Générale Automobile de Bourges by the Vincent group, and formalized by two memoranda of understanding signed on November 5, 2019;  </w:t>
        <w:br/>
        <w:t xml:space="preserve">Having regard to Book IV of the Commercial Code relating to the freedom of prices and competition, and in particular its Articles L. 430-1 to L. 430-7;  </w:t>
        <w:br/>
        <w:t xml:space="preserve">Having regard to the additional elements transmitted during the investigation;  </w:t>
        <w:br/>
        <w:t xml:space="preserve">Adopts the decision as follows:  </w:t>
        <w:br/>
        <w:t xml:space="preserve">1. The notified operation consists of the exclusive control acquisition by the Vincent group of the company Générale Automobile de Vierzon and the company Générale Automobile de Bourges, which operate a car dealership activity under the brands Citroën and DS in the Cher department (18). The operation constitutes a concentration operation within the meaning of Article L. 430-1 of the Commercial Code. Given the turnover achieved by the companies concerned, the operation does not fall under the jurisdiction of the European Union. However, the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19-290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