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https://www.autoritedelaconcurrence.fr/fr/decision-de-controle-des-concentrations/relative-la-prise-de-controle-exclusif-des-societes-28</w:t>
      </w:r>
    </w:p>
    <w:p>
      <w:r>
        <w:t>Pages translated : 7</w:t>
      </w:r>
    </w:p>
    <w:p/>
    <w:p>
      <w:r>
        <w:rPr>
          <w:b/>
        </w:rPr>
        <w:t>[Pages 1–3]</w:t>
      </w:r>
    </w:p>
    <w:p>
      <w:r>
        <w:t xml:space="preserve">FRENCH REPUBLIC  </w:t>
        <w:br/>
        <w:t xml:space="preserve">Decision No. 19-DCC-267 of December 27, 2019  </w:t>
        <w:br/>
        <w:t>regarding the exclusive control of the companies Laboratoires Iprad Santé and Laboratoires Iprad Pharma by the company Biocodex</w:t>
      </w:r>
    </w:p>
    <w:p>
      <w:r>
        <w:t xml:space="preserve">The Competition Authority,  </w:t>
        <w:br/>
        <w:t xml:space="preserve">Having regard to the notification file submitted in full to the concentrations service on November 22, 2019, regarding the exclusive control of the companies Laboratoires Iprad Santé and Laboratoires Iprad Pharma by the company Biocodex, formalized by a resolution of the board of directors of Biocodex dated [confidential] and a draft share transfer agreement confirmed by a share transfer agreement dated [confidential];  </w:t>
        <w:br/>
        <w:t xml:space="preserve">Having regard to Book IV of the Commercial Code relating to the freedom of prices and competition, and in particular its Articles L. 430-1 to L. 430-7;  </w:t>
        <w:br/>
        <w:t xml:space="preserve">Having regard to the other documents in the file;  </w:t>
        <w:br/>
        <w:t>Adopts the following decision:</w:t>
      </w:r>
    </w:p>
    <w:p>
      <w:r>
        <w:t xml:space="preserve">I. The concerned companies and the operation  </w:t>
        <w:br/>
        <w:t xml:space="preserve">1. The company Biocodex (hereinafter, "Biocodex") is a French laboratory active in the design, manufacture, and distribution of health products in France and abroad. Biocodex's activities are mainly divided into two product families: medicines (sold by prescription or available over the counter) and dietary supplements (Symbiosys range, based on probiotic strains). Originally, Biocodex developed its portfolio around gastroenterology, with the medicine marketed in France under the brand "Ultra-levure," [confidential].  </w:t>
        <w:br/>
        <w:t xml:space="preserve">2. Biocodex SAS is primarily owned by [confidential] who do not hold any controlling interest in third-party companies.  </w:t>
        <w:br/>
        <w:t>3. The Iprad group (composed of the companies Laboratoires Iprad Santé and Laboratoires Iprad Pharma, hereinafter, respectively, "Iprad Santé" and "Iprad Pharma" or, together, "the target") is active in the design, manufacture, and distribution of health and wellness products in France and abroad. It is particularly active in the field of gynecology and feminine intimate hygiene.</w:t>
      </w:r>
    </w:p>
    <w:p>
      <w:r>
        <w:t xml:space="preserve">4. Prior to the operation, the target is controlled by [confidential].  </w:t>
        <w:br/>
        <w:t xml:space="preserve">5. The notified operation consists of two interdependent transactions:  </w:t>
        <w:br/>
        <w:t xml:space="preserve">- on the one hand, the acquisition by Biocodex of approximately 90% of the share capital of the company SPMD, which holds the entire share capital of Iprad Pharma and 96% of the share capital of Iprad Santé;  </w:t>
        <w:br/>
        <w:t xml:space="preserve">- on the other hand, the acquisition by Biocodex of the remaining share capital of Iprad Santé.  </w:t>
        <w:br/>
        <w:t xml:space="preserve">6. As it results in the exclusive control of the Iprad group by the company Biocodex, the notified operation constitutes a concentration within the meaning of Article L. 430-1 of the Commercial Code.  </w:t>
        <w:br/>
        <w:t>7. The companies concerned together achieve a total worldwide turnover of more than 150 million euros (Biocodex: [≥ 150] million euros for the fiscal year ending in 2018; Iprad group: [≤ 150] million euros for the fiscal year ending December 31, 2018). Each of these companies achieves, in France, a turnover exceeding 50 million euros (Biocodex: [≥ 50] million euros for the fiscal year ending in 2018; Iprad group: [≥ 50] million euros for the fiscal year ending December 31, 2018).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8. Biocodex and the Iprad group are active in the markets for active ingredients used in the manufacture of pharmaceutical products (A), pharmaceutical products (B), and dietary supplements (C).  </w:t>
        <w:br/>
        <w:t xml:space="preserve">A. THE MARKET FOR ACTIVE INGREDIENTS USED IN THE MANUFACTURE OF PHARMACEUTICAL PRODUCTS  </w:t>
        <w:br/>
        <w:t xml:space="preserve">1. PRODUCT MARKET  </w:t>
        <w:br/>
        <w:t xml:space="preserve">9. The European Commission has considered, since its Sanofi/Synthelabo decision1, that there are specific markets for active ingredients (or "API," for active pharmaceutical ingredients), which are upstream of the pharmaceutical product markets.  </w:t>
        <w:br/>
        <w:t xml:space="preserve">10. The Commission, echoed by national decisional practice, considers each API as potentially constituting a relevant product market in itself, while noting that it cannot be excluded that certain APIs are substitutable for each other for all or part of the ranges of applications2.  </w:t>
        <w:br/>
        <w:t xml:space="preserve">1 European Commission, decision M. 1397, Sanofi/Synthelabo, May 17, 1999.  </w:t>
        <w:br/>
        <w:t>2 See decision No. 13-DCC-106 of August 6, 2013, regarding the exclusive control of Warner Chilcott plc by Actavis, Inc., paragraph 13, and decision No. 14-DCC-49 of March 31, 2014, regarding the exclusive control of SPL Acquisition Corp by Shenzhen Hepalink Pharmaceutical Co Ltd, paragraph 6.</w:t>
      </w:r>
    </w:p>
    <w:p>
      <w:r>
        <w:t xml:space="preserve">11. In any event, the question of the exact delineation of the market for active ingredients used in the manufacture of pharmaceutical products can be left open insofar as the conclusions of the competitive analysis remain unchanged regardless of the delineation adopted.  </w:t>
        <w:br/>
        <w:t xml:space="preserve">12. In this case, the parties are active in the market for the supply of active ingredients, it being specified that the medicines they market are composed of different active ingredients.  </w:t>
        <w:br/>
        <w:t xml:space="preserve">2. GEOGRAPHIC MARKET  </w:t>
        <w:br/>
        <w:t xml:space="preserve">13. In the aforementioned decisions, the European Commission considered that the market for active ingredients is of a broader geographic dimension than that of finished pharmaceutical products, and possibly of a global dimension3.  </w:t>
        <w:br/>
        <w:t xml:space="preserve">14. In any event, the question of the exact geographic delineation of the market for active ingredients used in the manufacture of pharmaceutical products can be left open insofar as the conclusions of the competitive analysis remain unchanged regardless of the delineation adopted.  </w:t>
        <w:br/>
        <w:t xml:space="preserve">B. THE MARKET FOR PHARMACEUTICAL PRODUCTS  </w:t>
        <w:br/>
        <w:t xml:space="preserve">1. PRODUCT MARKET  </w:t>
        <w:br/>
        <w:t xml:space="preserve">15. According to national and European decisional practice4, the markets for medicines can be segmented according to their therapeutic class with reference to the "Anatomical Therapeutic Chemical" (hereinafter "ATC") classification developed by the European Pharmaceutical Marketing Research Association (hereinafter "EphMRA") and used by International Medical Statistics (hereinafter "IMS"). This classification of medicines contains 16 categories broken down into four levels, depending on the composition and therapeutic indications: the ATC1 level is the most general, while the ATC4 level is the most detailed. The third level of the classification, ATC3, groups medicines according to their therapeutic indications, that is to say, the intended use. This level is generally used as the starting point for analyzing the effects of a concentration operation by competition authorities, even if they may have been led to examine the effects of a concentration operation at the ATC4 classification level or to estimate market shares based on different data in order to take into account substitutable products from the demand perspective.  </w:t>
        <w:br/>
        <w:t xml:space="preserve">16. In some cases, the analysis has thus been conducted at the molecule level. The European Commission has analyzed, regarding generic medicines, the overlaps of activities at the narrowest level, based on the molecule or group of molecules concerned, estimating  </w:t>
        <w:br/>
        <w:t xml:space="preserve">3 European Commission, decision M. 1397, Sanofi/Synthelabo, May 17, 1999, and European Commission, decision M. 3394, Johnson &amp; Johnson/MSD Europe, March 29, 2004.  </w:t>
        <w:br/>
        <w:t>4 See in particular the decisions of the European Commission No. COMP/M.5295, Teva/Barr, December 19, 2008, No. COMP/M.5253, Sanofi-Aventis/Zentiva, February 4, 2009, No. COMP/M.5555, Novartis/EBEWE, September 22, 2009, the decision of the Minister C2006-142, of December 20, 2006, regarding the acquisition of 3M by Meda, and the decision of the Competition Authority No. 10-DCC-191 of December 19, 2010, regarding the exclusive control of the Théramex group by the Teva group and No. 13-DCC-106 of August 6, 2013, regarding the exclusive control of Warner Chilcott plc by Actavis, Inc., paragraphs 5 to 8.</w:t>
      </w:r>
    </w:p>
    <w:p>
      <w:r>
        <w:rPr>
          <w:b/>
        </w:rPr>
        <w:t>[Pages 4–6]</w:t>
      </w:r>
    </w:p>
    <w:p>
      <w:r>
        <w:t xml:space="preserve">that the demand may be specific to a molecule and that generic drug suppliers compete with regard to the reference molecule5.  </w:t>
        <w:br/>
        <w:t xml:space="preserve">17. The decisional practice has also made a distinction between (i) prescription drugs and over-the-counter drugs; (ii) finished drugs and products under development; and (iii) drugs according to their pharmaceutical form.  </w:t>
        <w:br/>
        <w:t xml:space="preserve">18. In any event, the question of the exact delineation of the pharmaceutical product market can be left open insofar as the conclusions of the competitive analysis remain unchanged regardless of the delineation chosen.  </w:t>
        <w:br/>
        <w:t xml:space="preserve">19. In this case, the parties both market pharmaceutical products, which however belong to different ATC3 classes6. The operation therefore does not lead to any overlap in the pharmaceutical product market.  </w:t>
        <w:br/>
        <w:t xml:space="preserve">2. GEOGRAPHIC MARKET  </w:t>
        <w:br/>
        <w:t xml:space="preserve">20. It follows from consistent decisional practice7 that the market for pharmaceutical products is of a national dimension.  </w:t>
        <w:br/>
        <w:t xml:space="preserve">21. In any case, the question of the geographic delineation of the pharmaceutical product market can be left open insofar as the conclusions of the competitive analysis would remain unchanged regardless of the delineation chosen.  </w:t>
        <w:br/>
        <w:t xml:space="preserve">C. THE MARKET FOR FOOD SUPPLEMENTS  </w:t>
        <w:br/>
        <w:t xml:space="preserve">1. PRODUCT MARKET  </w:t>
        <w:br/>
        <w:t xml:space="preserve">22. According to the information provided by the notifying party, food supplements are distinguished from pharmaceutical products or food products due to their characteristics. Indeed, unlike basic foodstuffs, food supplements have a specific nutritional or physiological effect. Furthermore, they are also distinguished from pharmaceutical products, particularly given the regulatory framework applicable to them. In particular, food supplements placed on the market are subject to regulatory control by the Directorate General for Competition, Consumer Affairs and Fraud Control (DGCCRF). This control aims in particular to verify that no ingredient likely to be harmful to health has been introduced into these products. Medicines, on the other hand, are subject to control by the National Agency for the Safety of Medicines, which conducts a safety check of health products, including medicines.  </w:t>
        <w:br/>
        <w:t xml:space="preserve">23. According to the information gathered during the investigation, several segmentations of the food supplement market can be considered.  </w:t>
        <w:br/>
        <w:t xml:space="preserve">24. First, food supplements have varied uses. By analogy with the pharmaceutical sector, where markets are segmented according to the therapeutic indication of the drug ("ATC3"), a segmentation of the food supplement market could therefore be made according to uses.  </w:t>
        <w:br/>
        <w:t xml:space="preserve">25. The national union of food supplements groups them into two main families: "beauty" products (slimming, beauty) and "health" products (sleep/stress, vitality, digestion, circulation, joints, etc.). The notifying party considers that it is possible to envisage a segmentation of food supplements according to whether they are intended for the following uses: (i) digestion/transit, (ii) sleep/stress/mood, (iii) vitality, (iv) slimming/drainage, (v) joints, (vi) respiratory tract, (vii) beauty, (viii) vision, (ix) genito-urinary, (x) circulation, (xi) women's health, (xii) immune defenses, (xiii) solar, (xiv) memory/concentration, and (xv) balance.  </w:t>
        <w:br/>
        <w:t xml:space="preserve">26. Next, it follows from the information provided by the notifying party that a segmentation of food supplements could also be envisaged with regard to the composition of the food supplements, distinguishing (i) plant-based food supplements, (ii) food supplements based on organic strains, and (iii) food supplements based on vitamins and minerals.  </w:t>
        <w:br/>
        <w:t xml:space="preserve">27. Finally, in the context of the notification of this file, the notifying party indicated that "food supplements are sold through various distribution channels," namely pharmacies (nearly 50%), direct sales and distance selling, particularly online (18.7%), specialized channels such as organic stores (15.5%), large and medium-sized stores (10.3%), and parapharmacies (5.9%). Consequently, a segmentation of the food supplement market according to the type of distribution channel could be envisaged.  </w:t>
        <w:br/>
        <w:t xml:space="preserve">28. In any event, the question of the exact delineation of the food supplement market can be left open insofar as the conclusions of the competitive analysis remain unchanged regardless of the delineation chosen.  </w:t>
        <w:br/>
        <w:t xml:space="preserve">2. GEOGRAPHIC MARKET  </w:t>
        <w:br/>
        <w:t xml:space="preserve">29. The notifying party considers that the market for food supplements can be regarded as being of national dimension. Distributors indeed target customers throughout the national territory.  </w:t>
        <w:br/>
        <w:t xml:space="preserve">30. In any case, the question of the geographic delineation of the food supplement market can be left open insofar as the conclusions of the competitive analysis remain unchanged regardless of the delineation chosen.  </w:t>
        <w:br/>
        <w:t xml:space="preserve">III. Competitive Analysis  </w:t>
        <w:br/>
        <w:t xml:space="preserve">A. HORIZONTAL EFFECTS  </w:t>
        <w:br/>
        <w:t xml:space="preserve">31. The parties are simultaneously present in the food supplement market: indeed, Biocodex and the Iprad group manufacture and market food supplements. In the French food supplement market, across all products, the combined market share of the parties is less than 1%.  </w:t>
        <w:br/>
        <w:t xml:space="preserve">32. Within this overall food supplement market, the parties are simultaneously present in the potential segments "digestion/transit" and "genito-urinary":  </w:t>
        <w:br/>
        <w:t xml:space="preserve">- in the market segment for food supplements intended for digestion or transit, according to estimates provided by the notifying party, the combined market shares of the parties are less than 10%. The parties face competition from a significant number of major players, including Probiotil, Hygiaflore, or Philaromal;  </w:t>
        <w:br/>
        <w:t xml:space="preserve">- in the market segment for food supplements intended for the genito-urinary organs, according to estimates provided by the notifying party, the combined market shares of the parties are less than 10%. Furthermore, the parties face competition from a significant number of major players, particularly Pileje.  </w:t>
        <w:br/>
        <w:t xml:space="preserve">33. The notifying party indicated that the market share of the new entity would remain below 10% even in the event that the food supplement market was segmented according to the composition of the products (plants, organic strains, and vitamins and minerals).  </w:t>
        <w:br/>
        <w:t xml:space="preserve">34. Finally, the notifying party indicated that the market share of the new entity would remain below 25% even in the event that the food supplement market was segmented according to the relevant distribution network.  </w:t>
        <w:br/>
        <w:t xml:space="preserve">35. Consequently, given the limited market share of the new entity in the various segments of the food supplement market, and the presence of significant competitors, any risk of horizontal effect related to the operation in the food supplement market can be ruled out.  </w:t>
        <w:br/>
        <w:t xml:space="preserve">B. CONGLOMERATE EFFECTS  </w:t>
        <w:br/>
        <w:t xml:space="preserve">36. A concentration has conglomerate effects when the new entity extends or strengthens its presence in several markets whose connection may allow it to increase its market power; while conglomerate concentrations can generate pro-competitive synergies, some may nevertheless produce restrictive effects on competition when they allow for the technical or commercial tying of the sales or purchases of the components of the grouping in a way that locks the market or drives out competitors. Decisional practice generally rules out the risks of conglomerate effects when the share of the company resulting from the operation in the relevant markets does not exceed 30%.  </w:t>
        <w:br/>
        <w:t>37. In this case, the markets for pharmaceutical products and food supplements can be considered connected, particularly given the identity of the buyers of the new entity. However, its market share in these different markets will remain, after the operation, below 30%. Consequently, the operation is not likely to harm competition through conglomerate effects between these two markets.</w:t>
      </w:r>
    </w:p>
    <w:p>
      <w:r>
        <w:rPr>
          <w:b/>
        </w:rPr>
        <w:t>[Pages 7–7]</w:t>
      </w:r>
    </w:p>
    <w:p>
      <w:r>
        <w:t xml:space="preserve">DECIDES  </w:t>
        <w:br/>
        <w:t xml:space="preserve">Sole Article: The operation notified under number 19-297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