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https://www.autoritedelaconcurrence.fr/fr/decision-de-controle-des-concentrations/relative-la-prise-de-controle-exclusif-des-societes-32</w:t>
      </w:r>
    </w:p>
    <w:p>
      <w:r>
        <w:t>Pages translated : 2</w:t>
      </w:r>
    </w:p>
    <w:p/>
    <w:p>
      <w:r>
        <w:rPr>
          <w:b/>
        </w:rPr>
        <w:t>[Pages 1–2]</w:t>
      </w:r>
    </w:p>
    <w:p>
      <w:r>
        <w:t>FRENCH REPUBLIC</w:t>
        <w:br/>
        <w:t>Decision No. 21-DCC-58 of April 6, 2021</w:t>
        <w:br/>
        <w:t>regarding the exclusive control acquisition of Esterel Distribution Automobile and Établissements Bacchi-Bouteille by the company ECL</w:t>
        <w:br/>
        <w:t>The Competition Authority,</w:t>
        <w:br/>
        <w:t>Having regard to the complete notification file sent to the mergers department on March 17, 2021, concerning the exclusive control acquisition of Esterel Distribution Automobile and Établissements Bacchi-Bouteille by the company ECL, formalized by share transfer agreements dated March 12 and March 21, 2021, respectively;</w:t>
        <w:br/>
        <w:t>Having regard to Book IV of the Commercial Code relating to the freedom of prices and competition, and in particular its Articles L. 430-1 to L. 430-7;</w:t>
        <w:br/>
        <w:t>Having regard to the elements provided by the notifying party during the investigation;</w:t>
        <w:br/>
        <w:t>Adopts the following decision:</w:t>
        <w:br/>
        <w:t>1. The notified operation consists of the exclusive control acquisition by the company ECL, the parent company of the Chopard group, of the companies Esterel Distribution Automobile and Établissements Bacchi-Bouteille, which operate two car dealerships under the brands Abarth, Citroën, DS, Fiat, and Fiat Professional, located in the municipalities of Draguignan and Fréjus (83).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21-052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