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https://www.autoritedelaconcurrence.fr/fr/decision-de-controle-des-concentrations/relative-la-prise-de-controle-exclusif-des-societes-33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21-DCC-61 of April 8, 2021  </w:t>
        <w:br/>
        <w:t xml:space="preserve">regarding the exclusive control acquisition of Delpeyrat-Chevallier  </w:t>
        <w:br/>
        <w:t xml:space="preserve">and Salaisons Pyrénéennes by the Fipso group  </w:t>
        <w:br/>
        <w:t>The Competition Authority,</w:t>
      </w:r>
    </w:p>
    <w:p>
      <w:r>
        <w:t xml:space="preserve">Having regard to the complete notification file sent to the mergers department on March 17, 2021,  </w:t>
        <w:br/>
        <w:t xml:space="preserve">concerning the exclusive control acquisition of Delpeyrat-Chevallier and Salaisons Pyrénéennes  </w:t>
        <w:br/>
        <w:t>by the Fipso group, formalized by a share transfer agreement dated February 4,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Delpeyrat-Chevallier  </w:t>
        <w:br/>
        <w:t xml:space="preserve">and Salaisons Pyrénéennes by the Fipso group, both primarily active in the sector  </w:t>
        <w:br/>
        <w:t xml:space="preserve">of the manufacture and marketing of pork meat. It constitutes a concentration operation within the meaning of Article L. 430-1 of the Commercial Code. Given the turnover achieved by the companies concerned, the operation does not fall under the jurisdiction of  </w:t>
        <w:br/>
        <w:t xml:space="preserve">the European Union. On the other hand, the control thresholds mentioned in point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21-030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