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https://www.autoritedelaconcurrence.fr/fr/decision-de-controle-des-concentrations/relative-la-prise-de-controle-exclusif-des-societes-35</w:t>
      </w:r>
    </w:p>
    <w:p>
      <w:r>
        <w:t>Pages translated : 2</w:t>
      </w:r>
    </w:p>
    <w:p/>
    <w:p>
      <w:r>
        <w:rPr>
          <w:b/>
        </w:rPr>
        <w:t>[Pages 1–2]</w:t>
      </w:r>
    </w:p>
    <w:p>
      <w:r>
        <w:t xml:space="preserve">FRENCH REPUBLIC  </w:t>
        <w:br/>
        <w:t xml:space="preserve">Decision No. 21-DCC-220 of November 24, 2021  </w:t>
        <w:br/>
        <w:t xml:space="preserve">regarding the exclusive control acquisition of the companies Automobiles Vienne Sud, Desruol Automobiles, Drisar Automobiles, and Établissements A. Bourget et Cie by the company ECL  </w:t>
        <w:br/>
        <w:t xml:space="preserve">The Competition Authority,  </w:t>
        <w:br/>
        <w:t xml:space="preserve">Having regard to the complete notification file sent to the mergers department on November 8, 2021, concerning the exclusive control acquisition of the companies Automobiles Vienne Sud, Desruol Automobiles, Drisar Automobiles, and Établissements A. Bourget et Cie by the company ECL, formalized by a share transfer agreement dated November 3, 2021;  </w:t>
        <w:br/>
        <w:t xml:space="preserve">Having regard to Book IV of the Commercial Code relating to the freedom of prices and competition, and in particular its Articles L. 430-1 to L. 430-7;  </w:t>
        <w:br/>
        <w:t xml:space="preserve">Having regard to the elements transmitted by the notifying party during the proceedings;  </w:t>
        <w:br/>
        <w:t xml:space="preserve">Adopts the following decision:  </w:t>
        <w:br/>
        <w:t xml:space="preserve">1. The notified operation consists of the exclusive control acquisition of the companies Automobiles Vienne Sud, Desruol Automobiles, Drisar Automobiles, and Établissements A. Bourget et Cie, each of which operates a car dealership under the brands Citroën, DS, and Peugeot located in the municipalities of Saint-Clair (07), Roussillon (38), Salaise-sur-Sanne (38), and Vienne (38), by the company ECL, the parent company of the Chopard group, which is itself active in the automotive distribution sector. It constitutes a concentration operation within the meaning of Article L. 430-1 of the Commercial Code. Given the revenues generated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21-269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