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https://www.autoritedelaconcurrence.fr/fr/decision-de-controle-des-concentrations/relative-la-prise-de-controle-exclusif-des-societes-38</w:t>
      </w:r>
    </w:p>
    <w:p>
      <w:r>
        <w:t>Pages translated : 18</w:t>
      </w:r>
    </w:p>
    <w:p/>
    <w:p>
      <w:r>
        <w:rPr>
          <w:b/>
        </w:rPr>
        <w:t>[Pages 1–3]</w:t>
      </w:r>
    </w:p>
    <w:p>
      <w:r>
        <w:t xml:space="preserve">FRENCH REPUBLIC  </w:t>
        <w:br/>
        <w:t xml:space="preserve">Decision No. 21-DCC-241 of December 14, 2021  </w:t>
        <w:br/>
        <w:t xml:space="preserve">regarding the exclusive control of the companies Financière CLC,  </w:t>
        <w:br/>
        <w:t xml:space="preserve">Groupe Lhoro Agest, and SLC by the company Trigano  </w:t>
        <w:br/>
        <w:t xml:space="preserve">The Competition Authority,  </w:t>
        <w:br/>
        <w:t xml:space="preserve">Having regard to the notification file submitted in full to the merger service on August 16, 2021,  </w:t>
        <w:br/>
        <w:t xml:space="preserve">regarding the exclusive control of the companies Groupe Lhoro Agest, Financière CLC, and SLC  </w:t>
        <w:br/>
        <w:t xml:space="preserve">by the company Trigano, formalized by three transfer contracts dated March 12, 22, and  </w:t>
        <w:br/>
        <w:t xml:space="preserve">25, 2021;  </w:t>
        <w:br/>
        <w:t xml:space="preserve">Having regard to Book IV of the Commercial Code relating to the freedom of prices and competition, and  </w:t>
        <w:br/>
        <w:t xml:space="preserve">notably its Articles L. 430-1 to L. 430-7;  </w:t>
        <w:br/>
        <w:t xml:space="preserve">Having regard to the commitments submitted on October 28, 2021, and last modified on  </w:t>
        <w:br/>
        <w:t xml:space="preserve">November 22, 2021;  </w:t>
        <w:br/>
        <w:t xml:space="preserve">Having regard to the additional elements provided by the notifying party during the investigation;  </w:t>
        <w:br/>
        <w:t xml:space="preserve">Having regard to the other documents in the file;  </w:t>
        <w:br/>
        <w:t xml:space="preserve">Adopts the following decision:  </w:t>
        <w:br/>
        <w:t xml:space="preserve">I. The companies concerned and the operation  </w:t>
        <w:br/>
        <w:t xml:space="preserve">1. Trigano is a public limited company listed on the Euronext Paris market, which is exclusively  </w:t>
        <w:br/>
        <w:t xml:space="preserve">controlled by Mr. François Feuillet. It is the parent company of the Trigano group, which controls  </w:t>
        <w:br/>
        <w:t xml:space="preserve">several companies active in the sectors of leisure vehicle production1 (caravans, motorhomes, and  </w:t>
        <w:br/>
        <w:t xml:space="preserve">mobile homes), heavy repair, and the distribution of accessories and spare parts for such vehicles.  </w:t>
        <w:br/>
        <w:t xml:space="preserve">It also controls two companies active in the retail distribution of new and used leisure vehicles, as well as several  </w:t>
        <w:br/>
        <w:t xml:space="preserve">companies active in the rental and financing of leisure vehicles2. The  </w:t>
        <w:br/>
        <w:t xml:space="preserve">1 The leisure vehicle production activity represents [confidential] % of Trigano's turnover.  </w:t>
        <w:br/>
        <w:t xml:space="preserve">2 In addition to its activities related to leisure vehicles, Trigano is also active in the marketing of leisure equipment.  </w:t>
        <w:br/>
        <w:t>This activity represented [confidential] % of its turnover for the period 2019/2020.</w:t>
      </w:r>
    </w:p>
    <w:p>
      <w:r>
        <w:t xml:space="preserve">The companies of the Trigano group are primarily active in Western Europe, particularly in  </w:t>
        <w:br/>
        <w:t xml:space="preserve">Germany, Belgium, Spain, France, Italy, the Netherlands, Norway, the United Kingdom, and Sweden.  </w:t>
        <w:br/>
        <w:t xml:space="preserve">2. SLC distributes new and used leisure vehicles through 18 sites located in  </w:t>
        <w:br/>
        <w:t xml:space="preserve">western France3. SLC distributes the main brands of leisure vehicle manufacturers, including those of Carthago, Hymer, Hobby, Morelo, Pilote, Pössl, Rapido, and Trigano. SLC also provides maintenance services, after-sales service, sale of spare parts, and sale of outdoor and caravan accessories at 8 sites under the Narbonne Accessoires brand and 7 under the SLC brand. Finally, SLC also engages in activities in the rental and financing of leisure vehicles. It also holds a stake in the company Alliance Camperteam, which aims to carry out communication operations, group purchases, and the development of after-sales services.  </w:t>
        <w:br/>
        <w:t xml:space="preserve">3. CLC distributes new and used leisure vehicles through 17 sites located in eastern France4. CLC distributes the main brands of leisure vehicle manufacturers, including those of Carthago, Hymer, Knaus, Pilote, Rapido, and Trigano. CLC also provides maintenance services, after-sales service, sale of spare parts, and sale of outdoor and caravan accessories under the Narbonne Accessoires brand. Finally, CLC also engages in activities in the rental and financing of leisure vehicles. It also holds a stake in the company Alliance Camperteam, which aims to carry out communication operations, group purchases, and the development of after-sales services.  </w:t>
        <w:br/>
        <w:t xml:space="preserve">4. GLA distributes new and used leisure vehicles under the Loisiréo and Muratet brands, through 12 sites located mainly in southwestern France5. GLA distributes the main brands of leisure vehicle manufacturers, including those of Bürstner, Hymer, Pilote, Rapido, Pössl, and Trigano. GLA also provides maintenance services, after-sales service, sale of spare parts, and sale of outdoor and caravan accessories at 10 sites under the Narbonne Accessoires and Loisiréo brands. Finally, GLA also engages in activities in the rental and financing of leisure vehicles. It also holds a stake in the company Alliance Camperteam, which aims to carry out communication operations, group purchases, and the development of after-sales services.  </w:t>
        <w:br/>
        <w:t xml:space="preserve">5. The contemplated operation consists of the initial acquisition of 70% of the shares of CLC, GLA, and SLC. The transfer contracts also provide for the subsequent acquisition of [confidential] % of the shares according to sale promises that may be exercised by Trigano.  </w:t>
        <w:br/>
        <w:t xml:space="preserve">6. As it results in the exclusive control of CLC, SLC, and GLA by Trigano, the notified operation constitutes a concentration operation within the meaning of Article L. 430-1 of the Commercial Code.  </w:t>
        <w:br/>
        <w:t xml:space="preserve">7. The companies concerned together achieve a total worldwide turnover excluding taxes of more than 150 million euros (Trigano: 2,184 million euros for the fiscal year ending August 31, 2020; SLC, CLC, GLA: respectively, [≤ 150 million] euros for the fiscal year ending August 31, 2020, [≥ 150 million] for the fiscal year ending September 30, 2020, and [≤ 150 million] for the fiscal year ending August 31, 2020). Each of these companies achieved in France a turnover exceeding 50 million euros (Trigano: [≥ 50 million] euros for the fiscal year ending August 31, 2020; SLC, CLC, GLA: respectively, [≥ 50 million] euros for the fiscal year ending August 31, 2020, [≥ 50 million] for the fiscal year ending September 30, 2020, and [≥ 50 million] for the fiscal year ending August 31, 2020).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8. The contemplated operation concerns the sector of leisure vehicles (caravans, motorhomes, and  </w:t>
        <w:br/>
        <w:t xml:space="preserve">mobile homes). The parties are active in the markets for the construction and distribution of leisure vehicles6.  </w:t>
        <w:br/>
        <w:t xml:space="preserve">A. THE PRODUCT AND SERVICE MARKETS  </w:t>
        <w:br/>
        <w:t xml:space="preserve">9. Within the automotive sector7, the French and European competition authorities notably distinguish the following activities:  </w:t>
        <w:br/>
        <w:t xml:space="preserve">• the construction and marketing of new vehicles;  </w:t>
        <w:br/>
        <w:t xml:space="preserve">• the retail distribution of new vehicles;  </w:t>
        <w:br/>
        <w:t xml:space="preserve">• the retail distribution of used vehicles;  </w:t>
        <w:br/>
        <w:t xml:space="preserve">• the rental of vehicles;  </w:t>
        <w:br/>
        <w:t xml:space="preserve">• the distribution of spare parts and accessories;  </w:t>
        <w:br/>
        <w:t xml:space="preserve">• maintenance and repair services.  </w:t>
        <w:br/>
        <w:t xml:space="preserve">10. The decision-making practice has considered that this segmentation is also applicable to the leisure vehicle sector8.  </w:t>
        <w:br/>
        <w:t xml:space="preserve">11. It has also considered segmenting the markets for the construction and marketing of leisure vehicles, as well as those for the retail distribution of vehicles.  </w:t>
        <w:br/>
        <w:t xml:space="preserve">6 The company CLC engages in a marginal technical assistance service, which generates a turnover of approximately [confidential] euros in 2020.  </w:t>
        <w:br/>
        <w:t xml:space="preserve">7 See notably the decisions of the European Commission No. COMP/M.2832 of July 22, 2002 - General Motors / Daewoo Motors; No. COMP/M.6403 of December 19, 2011 - Volkswagen / KPI Polska / Skoda Auto Polska / VW Bank Polska / VW Leasing Polska and decision No. 19-DCC-42 of March 12, 2019, regarding the joint control by Emil Frey Motors France and Fiber of Bernard Participations SAS.  </w:t>
        <w:br/>
        <w:t>8 See the letter from the Minister of Economy, Finance, and Industry dated September 3, 2003, to the advisors of Società Europea Autocaravan SpA, regarding a concentration in the leisure vehicle distribution sector; decision No. 15-DCC-95 of the Competition Authority of July 15, 2015, regarding the exclusive control of Société Financière JPC by Société Financière CLC; decision No. 15-DCC-106 of the Competition Authority of August 20, 2015, regarding the exclusive control of ELS Industrie and the distribution activity of Atlantique Camping-Car by Société Financière Guinhut; and decision No. 17-DCC-53 of April 25, 2017, regarding the control of Adria Mobil by Trigano.</w:t>
      </w:r>
    </w:p>
    <w:p>
      <w:r>
        <w:rPr>
          <w:b/>
        </w:rPr>
        <w:t>[Pages 4–6]</w:t>
      </w:r>
    </w:p>
    <w:p>
      <w:r>
        <w:t>5 relating to the exclusive control of ELS Industrie and the distribution activity of Atlantique Camping-Car by Financière Guinhut and decision no. 17-DCC-53 of April 25, 2017, relating to the control of Adria Mobil by Trigano.</w:t>
      </w:r>
    </w:p>
    <w:p>
      <w:r>
        <w:t>12. The market test conducted for this operation confirmed the relevance of the delimitations retained.</w:t>
        <w:br/>
        <w:t>13. Consequently, there is no need to call into question all the segmentations considered by the decisional practice for the purposes of this operation.</w:t>
        <w:br/>
        <w:t>B. GEOGRAPHICAL MARKETS</w:t>
        <w:br/>
        <w:t>14. Regarding the markets for the construction and marketing of leisure vehicles, the decisional practice has left open the question of whether they have a European or national dimension. Without definitively resolving the issue, it has retained a national dimension concerning the market for the construction and marketing of mobile homes.</w:t>
        <w:br/>
        <w:t>15. The notifying party, for its part, considers that the market for the construction and marketing of leisure vehicles is a market of European dimension. While the manufacturers responding to the market test predominantly favored a European delimitation of this market, it remains that the market share of French manufacturers, and notably that of Trigano, is significantly higher in France than in the rest of Europe. This point is also confirmed by a respondent to the market test who states that “[m]arket shares of each brand are very different in each national market. Preference goes to local manufacturers.” In this regard, it is noted that French manufacturers represent 70% of registrations at the national level while they represent less than 40% at the European level. At this stage of the investigation, it cannot therefore be excluded that the market for construction and manufacturing is of national dimension.</w:t>
        <w:br/>
        <w:t>16. In this case, the question of the geographical delimitation of the market can be left open, as the conclusions of the analysis are identical regardless of the delimitation retained. The analysis of the market for the construction and marketing of leisure vehicles will be conducted on the most conservative assumption, namely at the national level.</w:t>
        <w:br/>
        <w:t>17. The decisional practice regarding the distribution of leisure vehicles has noted that the behavior of buyers of leisure vehicles differs from that of buyers of automobiles, the specificity of leisure vehicles justifying greater travel distances on the part of customers (considering, in particular, their high price). While leaving the question open, it conducted a competitive analysis on catchment areas including the department of establishment of each dealership as well as the neighboring departments. The market test conducted for this operation confirmed the relevance of the delimitations retained. The effects of this operation will therefore be analyzed on the catchment areas thus defined.</w:t>
        <w:br/>
        <w:t>18. Regarding the markets for the distribution (i) of spare parts and accessories for leisure vehicles, and (ii) of maintenance and repair services for leisure vehicles as well as (iii) the markets for vehicle rental, the decisional practice has left open the question of whether they have a national or local dimension, the analysis generally being conducted at the departmental level. Furthermore, in operations where the acquirer is active in the neighboring departments of those in which the target is present, the Authority also conducts a competitive analysis on a market extended to all of these departments.</w:t>
        <w:br/>
        <w:t>19. In this case, given the tendency of leisure vehicle customers to travel a longer distance than those traveled by traditional vehicle buyers and the location of the parties' dealerships, the analysis will be conducted at the level of the catchment area including the department of establishment of each dealership as well as the neighboring departments.</w:t>
        <w:br/>
        <w:t>III. Competitive Analysis</w:t>
        <w:br/>
        <w:t>20. To the extent that the parties are simultaneously active in the markets for the distribution of leisure vehicles, the operation is likely to produce horizontal effects (1). Furthermore, to the extent that Trigano is present in the market for the construction and marketing of leisure vehicles, the operation is also likely to produce vertical effects (2). Finally, given the connection between the concerned markets, the operation is likely to have conglomerate effects (3).</w:t>
        <w:br/>
        <w:t>A. ANALYSIS OF HORIZONTAL EFFECTS</w:t>
        <w:br/>
        <w:t>21. Trigano and the targets are simultaneously present in the markets for the distribution of leisure vehicles, as they all distribute motorhomes and caravans. However, the targets do not market mobile homes in France, which allows for the exclusion of any risk of horizontal effect in this market.</w:t>
        <w:br/>
        <w:t>1. ON THE MARKETS FOR THE DISTRIBUTION OF MOTORHOMES</w:t>
        <w:br/>
        <w:t>a) On the market for the distribution of new motorhomes</w:t>
        <w:br/>
        <w:t>22. The activities of the parties overlap in 95 catchment areas.</w:t>
        <w:br/>
        <w:t>23. Following the operation, the market share of the parties exceeds 25% in 31 catchment areas. Among these areas, the addition of market shares will be less than 2 points in 11 areas, for which any risk of harm to competition can therefore be ruled out.</w:t>
        <w:br/>
        <w:t>24. Among the remaining twenty areas, the market share of the new entity will be less than 40% in 12 areas. Among these areas, the market share of the new entity is not greater than 35% in only three of them, with the addition of market shares resulting from the operation being less than 5 points. Consequently, in all of these 12 areas, the new entity will face sufficient competition from other operators or the operation will only induce a limited effect on the market structure. Any risk of harm to competition can therefore be ruled out.</w:t>
        <w:br/>
        <w:t>25. In the remaining eight areas, the market share of the new entity will be greater than 40% and the addition of market shares resulting from the operation will be greater than 2 points.</w:t>
        <w:br/>
        <w:t>26. Among these areas, the market share of the new entity will reach [40-50]% with an addition of market shares of around [5-10] points in the area consisting of the Bas-Rhin department and its neighboring departments. However, in this area, the new entity will face competition from three dealerships that market, according to the parties' estimates, more than [50-100] vehicles per year. Furthermore, this department borders Germany, so the new entity will face competition from other operators beyond just the dealerships established in France. Any risk of harm to competition can therefore be ruled out in this area.</w:t>
        <w:br/>
        <w:t>27. In the other seven areas, given the strong position of the parties and the low competitive presence, it cannot be excluded that the operation may be likely to harm competition through horizontal effects in the market for the distribution of new motorhomes. In any case, the commitments proposed by the parties eliminate any risk of harm to competition in these seven areas.</w:t>
        <w:br/>
        <w:t>b) On the market for the distribution of used motorhomes</w:t>
        <w:br/>
        <w:t>28. Following the operation, the market share of the new entity will remain below 25% in all catchment areas.</w:t>
        <w:br/>
        <w:t>29. Consequently, the operation is not likely to harm competition through horizontal effects in the market for the distribution of used motorhomes.</w:t>
      </w:r>
    </w:p>
    <w:p>
      <w:r>
        <w:rPr>
          <w:b/>
        </w:rPr>
        <w:t>[Pages 7–9]</w:t>
      </w:r>
    </w:p>
    <w:p>
      <w:r>
        <w:t xml:space="preserve">2. ON THE CARAVAN DISTRIBUTION MARKETS  </w:t>
        <w:br/>
        <w:t xml:space="preserve">a) On the market for the distribution of new caravans  </w:t>
        <w:br/>
        <w:t xml:space="preserve">30. Following the operation, the market share of the new entity will not exceed 25% in any of the catchment areas where the parties are active.  </w:t>
        <w:br/>
        <w:t xml:space="preserve">31. Consequently, the operation is not likely to harm competition through horizontal effects on the market for the distribution of new caravans.  </w:t>
        <w:br/>
        <w:t xml:space="preserve">b) On the market for the distribution of used caravans  </w:t>
        <w:br/>
        <w:t xml:space="preserve">32. The parties have not been able to provide their market shares at the local level, as sales of used caravans mostly occur between private individuals. Nevertheless, they argue that Trigano is not active in this market and that the target companies are only marginally active. Finally, at the national level, the market share of the new entity will remain below 1%.  </w:t>
        <w:br/>
        <w:t xml:space="preserve">33. In light of these elements, the operation is not likely to harm competition through horizontal effects on the markets for the construction and marketing of motorhomes.  </w:t>
        <w:br/>
        <w:t xml:space="preserve">3. ON OTHER DISTRIBUTION MARKETS  </w:t>
        <w:br/>
        <w:t xml:space="preserve">34. In addition to the market for the distribution of recreational vehicles, the parties are simultaneously present in the markets for the distribution of spare parts and accessories, maintenance and repair services, as well as in the market for the rental of recreational vehicles.  </w:t>
        <w:br/>
        <w:t xml:space="preserve">35. The parties indicated that they do not have data to determine their positions in these various markets. However, they state that their position in the repair/maintenance market is lower than that held in the distribution market based on certain studies showing that only half of buyers have their vehicles repaired at their dealer or a dealer of the same brand. According to the parties, in addition to motorhome distributors, customers can also entrust the repair or maintenance of their vehicle to garages.  </w:t>
        <w:br/>
        <w:t xml:space="preserve">36. Under these conditions, it appears that the parties' position in the markets for repair and distribution of spare parts is lower, or at least equivalent, to that held in the market for the distribution of passenger vehicles. Consequently, and considering the commitments proposed by the parties, the operation is not likely to harm competition through horizontal effects on the markets for the distribution of spare parts and accessories, maintenance and repair services.  </w:t>
        <w:br/>
        <w:t xml:space="preserve">B. ANALYSIS OF VERTICAL EFFECTS  </w:t>
        <w:br/>
        <w:t xml:space="preserve">37. As the guidelines of the Authority remind us, the vertical integration of a company or its strengthening can harm competition when that company holds a substantial market power in one or more of the relevant markets, which can serve as a leverage point. A vertical concentration can restrict competition by making it more difficult for competitors to access the markets where the new entity will be active, or even potentially excluding competitors or penalizing them by increasing their costs. This foreclosure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38. However, the Authority considers it unlikely that a company with a market share below 30% in a given market could lock out a downstream or upstream market. However, in this case, the Authority will conduct its analysis on the catchment areas where the new entity will have a market share exceeding 40%. Indeed, as explained previously in point 24, in the catchment areas where the market share of the new entity is between 30% and 40% in the downstream market, it should be considered that competitors will have sufficient outlets in the relevant area to continue marketing new motorhomes. This will thus ensure a sufficient choice for consumers.  </w:t>
        <w:br/>
        <w:t xml:space="preserve">39. In this case, Trigano and the target companies are active in the downstream markets for the retail distribution of new and used recreational vehicles, and Trigano is also present in the upstream market for the construction and marketing of recreational vehicles.  </w:t>
        <w:br/>
        <w:t xml:space="preserve">1. POSITIONS OF THE PARTIES  </w:t>
        <w:br/>
        <w:t xml:space="preserve">a) On the market for the production and marketing of recreational vehicles  </w:t>
        <w:br/>
        <w:t xml:space="preserve">40. Trigano is present in the upstream market for the production of new motorhomes and caravans through several brands.  </w:t>
        <w:br/>
        <w:t xml:space="preserve">41. The notifying party has submitted its estimates of market shares in these various markets:  </w:t>
        <w:br/>
        <w:t xml:space="preserve">Market share of Trigano  </w:t>
        <w:br/>
        <w:t xml:space="preserve">Motorhomes Caravans  </w:t>
        <w:br/>
        <w:t xml:space="preserve">Volume [20-30]% [10-20]%  </w:t>
        <w:br/>
        <w:t xml:space="preserve">At the European level  </w:t>
        <w:br/>
        <w:t xml:space="preserve">Value [20-30]% [10-20]%  </w:t>
        <w:br/>
        <w:t xml:space="preserve">Volume [30-40]% [20-30]%  </w:t>
        <w:br/>
        <w:t xml:space="preserve">At the national level  </w:t>
        <w:br/>
        <w:t xml:space="preserve">Value [30-40]% [10-20]%  </w:t>
        <w:br/>
        <w:t xml:space="preserve">42. In the market for the production of new motorhomes, it is observed that, while at the European level, the new entity will have a market share below 30%, its estimated market share at the national level is [30-40]% and is more than twice that of its closest competitors, Rapido ([10-20]%) and Hymer ([10-20]%).  </w:t>
        <w:br/>
        <w:t xml:space="preserve">43. The market share of the new entity exceeds the 30% threshold mentioned in paragraph 677 of the guidelines.  </w:t>
        <w:br/>
        <w:t xml:space="preserve">44. Furthermore, Trigano is the manufacturer with the largest number of vehicle brands (16) compared to 10 for Hymer/Thor, 9 for Rapido, and 6 for Pilote.  </w:t>
        <w:br/>
        <w:t xml:space="preserve">b) On the markets for the distribution of recreational vehicles  </w:t>
        <w:br/>
        <w:t xml:space="preserve">45. As described in point 25 above and in the table below, the parties will have a market share exceeding 40% in the markets for the distribution of new motorhomes in eight catchment areas where CLC is located: Haute-Marne (52), Meurthe-et-Moselle (54), Meuse (55), Moselle (57), Bas-Rhin (67), Haute-Saône (70), Vosges (88), and Territoire de Belfort (90).  </w:t>
        <w:br/>
        <w:t xml:space="preserve">Catchment areas Market share of the new entity in sales volumes Number of points of sale Number of competitors  </w:t>
        <w:br/>
        <w:t xml:space="preserve">Haute-Marne - 52 [50-60]% 6 7  </w:t>
        <w:br/>
        <w:t xml:space="preserve">Meurthe-et-Moselle - 54 [40-50]% 6 10  </w:t>
        <w:br/>
        <w:t xml:space="preserve">Meuse - 55 [40-50]% 4 5  </w:t>
        <w:br/>
        <w:t xml:space="preserve">Moselle - 57 [40-50]% 5 6  </w:t>
        <w:br/>
        <w:t xml:space="preserve">Bas-Rhin [40-50]% 6 12  </w:t>
        <w:br/>
        <w:t xml:space="preserve">Haute-Saône - 70 [40-50]% 5 8  </w:t>
        <w:br/>
        <w:t xml:space="preserve">Vosges - 88 [40-50]% 7 13  </w:t>
        <w:br/>
        <w:t xml:space="preserve">Territoire de Belfort - 90 [40-50]% 3 9  </w:t>
        <w:br/>
        <w:t xml:space="preserve">2. ON THE RISKS RELATED TO THE OPERATION  </w:t>
        <w:br/>
        <w:t xml:space="preserve">46. By taking control of CLC, Trigano will have a significant position in both the upstream and downstream markets for the distribution of new motorhomes in the identified catchment areas.  </w:t>
        <w:br/>
        <w:t>47. The likelihood of a scenario of competitor exclusion, both upstream and downstream, must be assessed by examining whether the new entity would have the capacity to significantly lock out its competitors from the market after the operation, and whether the incentives to do so would be present.</w:t>
      </w:r>
    </w:p>
    <w:p>
      <w:r>
        <w:rPr>
          <w:b/>
        </w:rPr>
        <w:t>[Pages 10–12]</w:t>
      </w:r>
    </w:p>
    <w:p>
      <w:r>
        <w:t>sufficient and whether, finally, a foreclosure strategy would have a significant effect on the markets in question. In practice, these three criteria are closely linked.</w:t>
      </w:r>
    </w:p>
    <w:p>
      <w:r>
        <w:t>48. It is necessary, in this case, to assess the risks of input foreclosure (a) and outlet foreclosure (b). Given the feedback from competitors in the market test, it is also necessary to assess whether the vertical integration resulting from the operation is likely to allow the new entity to access confidential information about its upstream competitors (c).</w:t>
      </w:r>
    </w:p>
    <w:p>
      <w:r>
        <w:t>a) On the existence of a risk of input foreclosure</w:t>
      </w:r>
    </w:p>
    <w:p>
      <w:r>
        <w:t>49. First, it is necessary to examine the scenario put forward by the respondents to the market test regarding a risk of upstream foreclosure, resulting from the foreclosure of inputs for Trigano's competitors. According to the respondents, such a risk would materialize in Trigano granting less favorable commercial or financial conditions to non-integrated distributors, which would degrade the attractiveness of the competing sales outlets of the parties.</w:t>
      </w:r>
    </w:p>
    <w:p>
      <w:r>
        <w:t>50. In this regard, it appears that, firstly, despite Trigano's market share in the upstream market, the elements in the file indicate that the brands owned by the Trigano group do not appear to be sufficiently essential to constitute a significant competitive advantage downstream for the dealers selling this brand of motorhomes. Indeed, while the vast majority of respondents to the market test stated that Trigano is an essential supplier, it emerges from the information provided by the parties that the brand is far from being the primary criterion for choice for consumers. Thus, the potential absence of products marketed by Trigano, or their marketing under less favorable conditions, from some or all of the competing distributor networks of the targets seems unlikely to provide, downstream, an advantage to the new entity or to harm the dealers who would no longer be able to offer these brands or would offer them under less favorable conditions than the stores of the Trigano group. The fact that all competing dealerships or some of them do not have motorhomes of these brands does not seem likely to diminish the sales potential that could be realized by these dealers.</w:t>
      </w:r>
    </w:p>
    <w:p>
      <w:r>
        <w:t>51. Secondly, a strategy of input foreclosure could lead Trigano to lose sales volumes upstream. However, the margins realized at the retail stage are lower than those realized when selling products to distributors. For an input foreclosure strategy to be profitable, it would therefore be necessary for the increase in retail sales within the target dealerships to be very high to compensate for the decrease in sales of Trigano products at competing dealerships. However, as explained in the previous paragraph, it seems unlikely that the input foreclosure strategy would significantly reduce the foot traffic at competing dealerships. Consequently, the new entity will have no incentive to implement such an input foreclosure strategy.</w:t>
      </w:r>
    </w:p>
    <w:p>
      <w:r>
        <w:t>52. Given all these elements, the operation is not likely to raise a risk of input foreclosure.</w:t>
      </w:r>
    </w:p>
    <w:p>
      <w:r>
        <w:t>b) On the existence of a risk of outlet foreclosure</w:t>
      </w:r>
    </w:p>
    <w:p>
      <w:r>
        <w:t>53. It is then necessary to examine the scenario of a risk of downstream foreclosure, resulting from the foreclosure of the outlets of Trigano's competitors.</w:t>
      </w:r>
    </w:p>
    <w:p>
      <w:r>
        <w:t>54. In this regard, it emerges from the responses of competitors to the market test that, following the operation, the new entity could concentrate the commercial efforts made by the newly integrated dealerships on the brands it owns to the detriment of other manufacturers. As for non-integrated distributors, since Trigano now has its own integrated outlets, it could modify its commercial practices to encourage non-integrated distributors in its network to increase the sales volumes of its own brands. This "mixed" foreclosure strategy, consisting of increasing its sales in the targets without necessarily implementing an exclusivity of supply in these dealerships, would notably involve better showcasing its products, particularly through salespeople. Indeed, if a large share of customers multiplies sources of information before making a purchase, according to the sector studies provided by the notifying party, [80-90]% of customers consider that the dealer plays a decisive role.</w:t>
      </w:r>
    </w:p>
    <w:p>
      <w:r>
        <w:t>55. Such a strategy is all the more likely as the margins realized on the sale of motorhomes are higher upstream (when these products are sold by the manufacturer to distributors) than downstream (when these vehicles are sold by distributors to consumers). In this context, even if a strategy aimed at increasing the sales of Trigano vehicles in the targets could have the effect of decreasing the sales of these dealerships, it could prove profitable if the loss of margin due to the decrease in sales of competing products were compensated by an increase in sales of its own vehicles.</w:t>
      </w:r>
    </w:p>
    <w:p>
      <w:r>
        <w:t>56. Furthermore, Trigano would be able to meet the excess demand it would face. The notifying party has indeed indicated that beyond the current cyclical difficulties related to chassis supply, which affect all operators in the sector, it would be able to increase its production "to the extent that the utilization rate of production tools by most manufacturers is generally quite low." It also specified that manufacturers of recreational vehicles could acquire new factories or renovate and expand existing sites. Thus, without denying the difficulties that may exist in recruiting and training qualified personnel, Trigano would be able to increase its production capacity to meet a rise in demand that could be directed towards it.</w:t>
      </w:r>
    </w:p>
    <w:p>
      <w:r>
        <w:t>57. Given these elements, it appears that the new entity will not only be capable but also incentivized to implement such a strategy.</w:t>
      </w:r>
    </w:p>
    <w:p>
      <w:r>
        <w:t>58. Regarding the effects resulting from such behavior, the manufacturers surveyed largely confirmed the difficulty of finding alternatives to the distribution channel represented by the target sales outlets, primarily in the eastern quarter of France where CLC is present.</w:t>
      </w:r>
    </w:p>
    <w:p>
      <w:r>
        <w:t>59. In this regard, as preliminarily indicated in point 38 above, the risk of foreclosure must be subject to a thorough analysis in the catchment areas where the presence of the targets is strong with a market share exceeding 40%. This is the case for the areas of Haute-Marne (52), Meurthe-et-Moselle (54), Meuse (55), Moselle (57), Bas-Rhin (67), Haute-Saône (70), Vosges (88), and Territoire de Belfort (90).</w:t>
      </w:r>
    </w:p>
    <w:p>
      <w:r>
        <w:t>60. First, regarding the area of Meuse (55), it should be noted that the new entity does not hold any sales outlets in the department, so all its sales are made from sales outlets located in neighboring departments. In such a context, strictly speaking, the operation will not lead to depriving competitors of outlets in this area. Any potential risks of foreclosure result solely from the presence of the parties in the neighboring departments, which are analyzed below.</w:t>
      </w:r>
    </w:p>
    <w:p>
      <w:r>
        <w:t>61. In the other departments, the notifying party has provided data to specify the risk of outlet foreclosure resulting from the operation.</w:t>
      </w:r>
    </w:p>
    <w:p>
      <w:r>
        <w:t>62. Regarding the Bas-Rhin area, as described in point 26 above, the market share of the new entity will be slightly above 40% in terms of the number of vehicles and [30-40]% in terms of sales outlets. Furthermore, this department borders Germany, the largest European market, so the new entity will face competition from other operators beyond just the dealerships established in France. Therefore, any risk of limiting outlets can be ruled out in this area.</w:t>
      </w:r>
    </w:p>
    <w:p>
      <w:r>
        <w:t>63. In the Haute-Marne area, the new entity will market more than 50% of new motorhomes by volume and operate more than [40-50]% of sales outlets. Of the remaining 7 independent distributors, [0-5] of them already achieve between [confidential]% and [confidential]% of their sales with Trigano vehicles. Given the risk identified above, these distributors, who conduct a significant portion of their business by marketing vehicles of brands owned by Trigano before the operation, will face difficulties in doing without the new entity in the medium term, which will give it a certain leverage over their commercial strategy. Consequently, following the operation, competing manufacturers would have only [0-5] independent sales outlets that would be able to constitute a sufficiently significant outlet for the products marketed by Trigano's competitors. In conclusion, a foreclosure strategy implemented by Trigano in this department is likely to raise competition issues.</w:t>
      </w:r>
    </w:p>
    <w:p>
      <w:r>
        <w:t>64. In the Meurthe-et-Moselle area, the new entity will market nearly [40-50]% of new motorhomes by volume and operate nearly 40% of sales outlets. Additionally, of the remaining 8 independent distributors, [0-5] of them already achieve between [confidential]% and [confidential]% of their sales with Trigano vehicles. Given the strategy identified above, these distributors will face difficulties in doing without the new entity in the medium term, which will give it a certain leverage over their commercial strategy. Consequently, following the operation, competing manufacturers would have only [5-10] independent sales outlets that would be able to constitute a sufficiently significant outlet for the products marketed by Trigano's competitors. Finally, it should be noted that the CLC distributors present in the area achieved more than [confidential]% of their sales with competing manufacturers. Following the operation, these distribution channels will likely increase the share of sales of Trigano brands, further reducing the outlets for competitors. In conclusion, a foreclosure strategy implemented by Trigano in this department is likely to raise competition issues.</w:t>
      </w:r>
    </w:p>
    <w:p>
      <w:r>
        <w:t>65. In the Moselle area, the new entity will market [40-50]% of new motorhomes by volume and operate more than [40-50]% of sales outlets. Moreover, of the remaining 6 independent distributors, [0-5] of them already achieve more than [confidential]% of their sales with Trigano vehicles. Additionally, it should be noted that the CLC distributors present in the area achieved more than [confidential]% of their sales with competing manufacturers. Following the operation, these distribution channels will likely increase the share of sales of Trigano brands at the expense of those of its competitors. In conclusion, it cannot be ruled out that a foreclosure strategy implemented by Trigano in this department is likely to raise competition issues.</w:t>
      </w:r>
    </w:p>
    <w:p>
      <w:r>
        <w:rPr>
          <w:b/>
        </w:rPr>
        <w:t>[Pages 13–15]</w:t>
      </w:r>
    </w:p>
    <w:p>
      <w:r>
        <w:t>66. In the Haute-Saône area, the new entity will market [40-50]% of new motorhomes by volume and will operate more than 40% of the sales outlets. Furthermore, among the 8 remaining independent distributors, [0-5] of them already generate more than [confidential]% of their sales with Trigano vehicles. Given the strategy identified above, these distributors may face difficulties in doing without the new entity in the medium term, which will give the latter a certain leverage over their commercial strategy. Consequently, following the operation, the competing manufacturers would only have [5-10] independent sales outlets that would be able to constitute a sufficiently significant outlet for the products marketed by Trigano's competitors. In conclusion, it cannot be excluded that a foreclosure strategy implemented by Trigano in this department is likely to raise competition issues.</w:t>
      </w:r>
    </w:p>
    <w:p>
      <w:r>
        <w:t>67. In the Vosges area, the new entity will market [40-50]% of new motorhomes by volume and will operate [30-40]% of the sales outlets. Moreover, among the 13 remaining independent distributors, [0-5] of them already generate [confidential]% and [confidential]% of their sales with Trigano vehicles. In conclusion, it cannot be excluded that a foreclosure strategy implemented by Trigano in this department is likely to raise competition issues.</w:t>
      </w:r>
    </w:p>
    <w:p>
      <w:r>
        <w:t>68. In the Territoire de Belfort area, the new entity will market [40-50]% of new motorhomes by volume and will operate [20-30]% of the sales outlets. Furthermore, among the 9 remaining independent distributors, [0-5] of them already generate between [confidential]% and [confidential]% of their sales with Trigano vehicles. In conclusion, it cannot be excluded that a foreclosure strategy implemented by Trigano in this department is likely to raise competition issues.</w:t>
      </w:r>
    </w:p>
    <w:p>
      <w:r>
        <w:t>69. Thus, in the seven areas identified above, any risk of foreclosure of outlets resulting from the operation cannot be excluded.</w:t>
      </w:r>
    </w:p>
    <w:p>
      <w:r>
        <w:t>70. For the purpose of contesting this analysis, Trigano puts forward the following arguments.</w:t>
      </w:r>
    </w:p>
    <w:p>
      <w:r>
        <w:t>71. Firstly, the notifying party argues that the provisions relating to restrictive competition practices and, in particular, Article L.442-1, I and II of the Commercial Code, would constitute effective safeguards to protect independent distributors against any commercial or economic discrimination by Trigano. According to the notifying party, the rules relating to undue advantage or significant imbalance would protect independent distributors against practices seeking to renegotiate contracts in a way that would be disadvantageous to them or to execute existing contracts abusively. Furthermore, the parties highlight the protection granted to distributors against abusive termination, which would protect them against product delisting practices, sudden and significant decreases in business volume, whether this termination is total or partial.</w:t>
      </w:r>
    </w:p>
    <w:p>
      <w:r>
        <w:t>72. However, it should be noted, as a preliminary point, that the application of these provisions would require a specific analysis of each contractual relationship and is therefore not generalizable to all contracts binding Trigano to its distributors. Thus, contrary to what the notifying party claims, the provisions in question are not capable of preventing a general harm to the market structure.</w:t>
      </w:r>
    </w:p>
    <w:p>
      <w:r>
        <w:t>73. Moreover, the provisions relating to contractual imbalance or disproportionate advantage would not allow distributors to take action against Trigano as long as the latter merely grants its distributors, for example, financing facilities or delivery priorities. The commercial conditions granted to independents can perfectly be balanced while allowing Trigano to favor its own distributors.</w:t>
      </w:r>
    </w:p>
    <w:p>
      <w:r>
        <w:t>74. Finally, regarding abusive termination, this provision does indeed protect distributors against immediate contractual termination or in the event of a sudden decrease in business volume. Nevertheless, it should be noted that, in usual commercial practice, notice periods are 24 months. Therefore, protection against abusive termination would not prevent Trigano, at the end of the usual notice period, from excluding independent distributors from its network or, for integrated distributors, from terminating commercial relationships with competing manufacturers.</w:t>
      </w:r>
    </w:p>
    <w:p>
      <w:r>
        <w:t>75. The aforementioned legal provisions are therefore insufficient to limit the ability of the new entity to implement the strategy described in point 54 above.</w:t>
      </w:r>
    </w:p>
    <w:p>
      <w:r>
        <w:t>76. Secondly, Trigano argues that the target distributors of CLC only market a small percentage of competing vehicles in the departments concerned compared to the total volume of vehicles sold in France. Consequently, they would not constitute significant outlets for Trigano's competitors. However, such an argument is not valid insofar as distribution markets are of a local dimension. As indicated in point 45, the targets represent more than 40% of motorhome registrations in several catchment areas. In these circumstances, it cannot be excluded that the competitors of the new entity, in the upstream market for the marketing of leisure vehicles, may be deprived of outlets in these local areas and that consumers may thus see their choices reduced.</w:t>
      </w:r>
    </w:p>
    <w:p>
      <w:r>
        <w:t>77. Thirdly, the notifying party notes that a significant portion of CLC's sales are made at the Bourget show and therefore do not have any local character. However, these sales are counted in the sales of CLC's dealerships, which would inflate its "local" performance. This assertion is, however, contradicted by certain elements of the file which show that the sales made at trade shows by CLC are minority.</w:t>
      </w:r>
    </w:p>
    <w:p>
      <w:r>
        <w:t>78. Lastly, Trigano emphasizes that the market for the distribution of motorhomes is an open market where new entrants are observed, particularly from the automotive sector. However, this situation does not call into question the risk of foreclosure of outlets as long as these new entrants are not active in the sale of motorhomes but only in the distribution of vans. Furthermore, these players, such as Ford or Volkswagen dealerships, only distribute their own products and not those of other manufacturers. Therefore, they will not be able to use their channel to distribute their products.</w:t>
      </w:r>
    </w:p>
    <w:p>
      <w:r>
        <w:t>79. Thus, in light of the parties' positions in the upstream and downstream markets for the distribution of new motorhomes, the operation is likely to lead to anti-competitive effects by allowing Trigano to lock in the marketing of competing vehicles in the seven identified catchment areas. However, the notifying party has proposed commitments aimed at remedying the identified risk of harm to competition.</w:t>
      </w:r>
    </w:p>
    <w:p>
      <w:r>
        <w:t>c) On the risk related to the new entity's access to sensitive information of its upstream competitors</w:t>
      </w:r>
    </w:p>
    <w:p>
      <w:r>
        <w:t>80. In the context of the market test organized during the investigation of this case, some competitors of the new entity in the market for the construction and marketing of new leisure vehicles highlighted the risk that the vertical integration resulting from the operation would allow the new entity to have strategic information about the activities of other operators in the sector. Indeed, Trigano could have, through its distribution network, information on the commercial practices of different manufacturers and thus adapt its offers.</w:t>
      </w:r>
    </w:p>
    <w:p>
      <w:r>
        <w:t>81. It should first be emphasized that in this case, access to such information is not specifically linked to the operation. An operator interviewed during the investigation indeed indicated: "when a manufacturer wants to make a commercial effort to sell its products, it will inform its distributors that they are offering certain accessories for free. In this case, the distributor, who receives year-end discounts from competing manufacturers, will inform them of this operation and encourage them to do the same so that he can, on his side, meet the sales targets he has agreed with these manufacturers. [...] For me, the operation does not change the incentives that distributors had to inform manufacturers about the commercial policy followed by their competitors. [...]"</w:t>
      </w:r>
    </w:p>
    <w:p>
      <w:r>
        <w:t>82. Finally, and in any case, given the commitments proposed by the notifying party, the competitors of the parties will have sufficient outlets at the local level so as not to be forced to distribute their products in the dealerships of the new entity. In this context, if, despite the elements outlined above, competitors believe that there remains a risk related to Trigano's access to sensitive information about the commercial strategy of its competitors, they will have sufficient outlets to terminate their commercial relationship with the dealerships of the new entity and replace it with a commercial agreement with a competing distributor independent of the new entity.</w:t>
      </w:r>
    </w:p>
    <w:p>
      <w:r>
        <w:t>83. In light of these elements, the operation is not likely to raise a competition issue resulting from the new entity's access to sensitive information about the activities of its competitors in the upstream market for the construction and marketing of new leisure vehicles.</w:t>
      </w:r>
    </w:p>
    <w:p>
      <w:r>
        <w:t>IV. The proposed commitments</w:t>
      </w:r>
    </w:p>
    <w:p>
      <w:r>
        <w:t>A. THE PROPOSED COMMITMENTS</w:t>
      </w:r>
    </w:p>
    <w:p>
      <w:r>
        <w:t>84. Trigano submitted a first proposal for commitments on October 28, 2021, aimed at addressing the risks of harm to competition related to the operation in the downstream market for the distribution of new motorhomes in the catchment areas identified in point 45 above.</w:t>
      </w:r>
    </w:p>
    <w:p>
      <w:r>
        <w:t>85. This first version of the commitments was submitted to a market test. The results of the market test were not in favor of the commitments made, and Trigano submitted a revised version of the commitment proposal on November 22, 2021. This final version is presented below. The text of the commitments, attached as an annex, forms an integral part of this decision.</w:t>
      </w:r>
    </w:p>
    <w:p>
      <w:r>
        <w:t>86. The proposed commitments consist of the sale of 2 business assets located in Côte d'Or (21) and Meurthe-et-Moselle (54) aimed at remedying the identified risks of harm to competition in the areas previously mentioned in points 45 and following, within a period of [confidential] months from the date of this decision. Furthermore, in the final version of the commitments, Trigano also commits not to terminate the distribution contracts for new motorhomes concluded between it and the sold business assets and in force on the date of this decision for a duration of [confidential] years from the date of signature of each transfer contract.</w:t>
      </w:r>
    </w:p>
    <w:p>
      <w:r>
        <w:rPr>
          <w:b/>
        </w:rPr>
        <w:t>[Pages 16–18]</w:t>
      </w:r>
    </w:p>
    <w:p>
      <w:r>
        <w:t xml:space="preserve">87. In order to ensure the effectiveness of these divestiture commitments, Trigano undertakes not to reacquire the divested stores, nor to acquire a direct or indirect influence over them, for a period of 10 years.  </w:t>
        <w:br/>
        <w:t xml:space="preserve">B. ASSESSMENT OF THE PROPOSED COMMITMENTS  </w:t>
        <w:br/>
        <w:t xml:space="preserve">1. ON THE OBJECTIVE OF THE COMMITMENTS  </w:t>
        <w:br/>
        <w:t xml:space="preserve">88. The exit of several points of sale from the network of the new entity and their divestiture to an appropriate buyer, likely to exert real competition on the parties following the operation, allows for the restoration of outlets to competing manufacturers and thus resolves the risks of vertical effects described in points 62 and following. Indeed, these commitments have the effect of reducing the parties' position in the downstream markets for the retail distribution of new caravans, and thus maintaining, following the operation, sufficient outlets for the competitors of the new entity in the upstream markets, thereby eliminating any concerns of vertical competition.  </w:t>
        <w:br/>
        <w:t xml:space="preserve">89. Furthermore, the commitments also help to eliminate potential horizontal competition issues described in point 27 of this decision. Indeed, for the areas where the operation leads to an overlap of activities, they limit the strengthening of the parties' position following the operation.  </w:t>
        <w:br/>
        <w:t xml:space="preserve">90. In addition, the effectiveness of the remedies is guaranteed by the divestiture of the relevant assets to one or more appropriate buyers. Indeed, to restore sufficient competitive conditions, the buyer(s) must be capable of effectively competing with the new entity in the relevant markets. This implies that the potential buyers must present all guarantees of viability and independence, both legal and commercial, with respect to Trigano. The potential buyers must therefore be actors in the distribution of leisure vehicles or operators likely to become so in a sufficiently credible manner. These operators must be independent of Trigano throughout the entire value chain, from supply to retail sale, and capable of ensuring the sustainable operation of the divested assets.  </w:t>
        <w:br/>
        <w:t xml:space="preserve">91. Finally, the acquisition of the point of sale must not be likely to create new competition harms in the relevant area, by creating or strengthening the position of an already well-established competitor.  </w:t>
        <w:br/>
        <w:t xml:space="preserve">2. ON THE ADEQUACY OF THE PROPOSED COMMITMENTS  </w:t>
        <w:br/>
        <w:t xml:space="preserve">92. The commitments proposed by the notifying party consist of the divestiture of stores located in the catchment areas where the operation risks harming competition.  </w:t>
        <w:br/>
        <w:t xml:space="preserve">93. The points of sale concerned by the commitments are as follows:  </w:t>
        <w:br/>
        <w:t xml:space="preserve">- the business of selling caravans CLC Nancy, a multi-brand distributor in Bois-de-Haye in Meurthe-et-Moselle (54);  </w:t>
        <w:br/>
        <w:t xml:space="preserve">- the business of selling caravans CLC Dijon, a multi-brand distributor established in Chenove in Côte-d’Or (21).  </w:t>
        <w:br/>
        <w:t xml:space="preserve">94. In principle, such commitments are adequate, as they release the concerned points of sale from any link with the new entity by allowing competing brands to acquire the business.  </w:t>
        <w:br/>
        <w:t xml:space="preserve">95. In the areas of Meurthe-et-Moselle (54), Moselle (57), Haute-Saône (70), Vosges (88), and the Territoire de Belfort (90), identified as problematic, the divestitures will allow for the reduction of the new entity's market shares to a reasonable level and, in any case, below 40%.  </w:t>
        <w:br/>
        <w:t xml:space="preserve">96. In the Haute-Marne (52) area, the market share of the new entity will rise to [40-50]%, compared to [50-60]% before the operation. Furthermore, the market share of the new entity, in terms of the number of points of sale, will be below 40%. The divestitures will thus allow the competitors of the new entity in the upstream market for the production and marketing of new caravans to have sufficient outlets in these areas to continue to exert sufficient competition on Trigano. Moreover, in the downstream market, the commitments will allow competing distributors of the targets to strengthen their presence or establish themselves in the relevant areas and thus exert more effective competition on the new entity.  </w:t>
        <w:br/>
        <w:t xml:space="preserve">97. In order to ensure the attractiveness and viability of the two businesses targeted by the commitments, in accordance with the remarks made by certain respondents to the market test regarding the commitments, the new entity has also committed to maintaining, for a period of [confidential] years, its supply contracts with the divested stores. Such a provision secures the continuation of the business activities during the transitional period inherent in the transfer of ownership, while the buyer can establish new commercial relationships.  </w:t>
        <w:br/>
        <w:t xml:space="preserve">98. Furthermore, the commitments provide that these divestitures must occur within a sufficiently rapid timeframe to restore sufficient competition in the relevant markets, with the notifying party committing to ensure that the divestitures occur within a period of [confidential] months.  </w:t>
        <w:br/>
        <w:t xml:space="preserve">99. Regarding the implementation of the commitments, Trigano will propose to the Competition Authority the appointment of a trustee, referred to as the "monitoring trustee," whose mission will be to ensure compliance with the obligations resulting from this decision.  </w:t>
        <w:br/>
        <w:t xml:space="preserve">100. He must in particular ensure the preservation of the economic viability, market value, and competitiveness of the stores to be divested. He must also examine and evaluate potential buyers as well as the progress of the commitments.  </w:t>
        <w:br/>
        <w:t xml:space="preserve">101. Furthermore, if Trigano does not find buyers for the two aforementioned stores within a period of [confidential] months, a trustee will be tasked with finding buyers for the divested stores and negotiating with them, on behalf of the new entity, the terms of the divestiture, which reinforces the credibility of the commitments made by the notifying party.  </w:t>
        <w:br/>
        <w:t>102. In light of all these elements, the Competition Authority considers that the commitments proposed by the notifying party are sufficient to eliminate the risks of harm to competition resulting from the operation.</w:t>
      </w:r>
    </w:p>
    <w:p>
      <w:r>
        <w:t xml:space="preserve">DECIDES  </w:t>
        <w:br/>
        <w:t xml:space="preserve">Single Article: The operation notified under number 21-058 is authorized subject to the commitments described in paragraphs 84 to 102 above and annexed to this decision.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