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https://www.autoritedelaconcurrence.fr/fr/decision-de-controle-des-concentrations/relative-la-prise-de-controle-exclusif-des-societes-41</w:t>
      </w:r>
    </w:p>
    <w:p>
      <w:r>
        <w:t>Pages translated : 10</w:t>
      </w:r>
    </w:p>
    <w:p/>
    <w:p>
      <w:r>
        <w:rPr>
          <w:b/>
        </w:rPr>
        <w:t>[Pages 1–3]</w:t>
      </w:r>
    </w:p>
    <w:p>
      <w:r>
        <w:t xml:space="preserve">FRENCH REPUBLIC  </w:t>
        <w:br/>
        <w:t xml:space="preserve">Decision No. 12-DEX-03 of April 17, 2012  </w:t>
        <w:br/>
        <w:t xml:space="preserve">regarding the exclusive control of the companies Direct 8, Direct Star,  </w:t>
        <w:br/>
        <w:t xml:space="preserve">Direct Productions, Direct Digital, and Bolloré Intermédia by Vivendi and  </w:t>
        <w:br/>
        <w:t xml:space="preserve">Groupe Canal Plus  </w:t>
        <w:br/>
        <w:t xml:space="preserve">The Competition Authority,  </w:t>
        <w:br/>
        <w:t xml:space="preserve">Having regard to the notification file sent to the concentrations service on December 5, 2011, and declared complete on February 21, 2012, regarding the exclusive control of the companies Direct 8, Direct Star, Direct Productions, Direct Digital, and Bolloré Intermédia by Vivendi and Groupe Canal Plus, formalized by a protocol dated December 1, 2011;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commitments presented on March 27, 2012, by the notifying party;  </w:t>
        <w:br/>
        <w:t xml:space="preserve">Having regard to the decision dated April 13, 2012, by which the president of the Competition Authority temporarily appointed Ms. Françoise Aubert, vice-president, pursuant to Article L. 461-3 of the Commercial Code;  </w:t>
        <w:br/>
        <w:t xml:space="preserve">Adopts the following decision:  </w:t>
        <w:br/>
        <w:t xml:space="preserve">I. The concerned companies and the operation  </w:t>
        <w:br/>
        <w:t>1. The Vivendi group is a player operating in the communication and entertainment sectors. Its main activities include the production and publishing of content (video games, music, audiovisual works, films) and their distribution, particularly on digital networks. The Vivendi group is thus present in the music sector through its subsidiary Universal Music Group, in television and cinema through its subsidiary Groupe Canal Plus, in interactive games through its subsidiary Activision Blizzard, and in mobile and fixed telecommunications through its subsidiaries SFR, Groupe Maroc Télécom, and GVT.</w:t>
      </w:r>
    </w:p>
    <w:p>
      <w:r>
        <w:t xml:space="preserve">2. Groupe Canal Plus (hereinafter "GCP") is a pay television group, wholly owned by Vivendi, primarily active in France in the publishing of premium and thematic channels, in the aggregation and distribution of pay television offers, in new television usages, as well as in the production and distribution of cinema films. GCP is notably active, through its subsidiary CanalSat, in the publishing of thematic channels, in the aggregation and distribution of pay television channels within thematic packages, and in the distribution of catch-up television services.  </w:t>
        <w:br/>
        <w:t xml:space="preserve">3. Direct 8, Direct Star, Direct Productions, Direct Digital, and Bolloré Intermédia are companies exclusively controlled by the Bolloré group. Direct 8 and Direct Star are responsible for the publishing and operation of the eponymous channels on free DTT, cable, satellite, ADSL, and in simulcast on mobile networks. Direct 8 is a "generalist" channel, meaning its programming is not specialized and covers programs intended for the general public, including the broadcasting of audiovisual works, cinematographic works, and sporting events. Direct Star is a music channel, of which at least 75% of the airtime is dedicated to music programs; for the remainder, Direct Star broadcasts cinematographic and audiovisual works (notably television series) as well as sports programs. Bolloré Intermédia is an advertising agency that markets advertising space for several media, including the Direct 8 and Direct Star channels, to advertisers, advertising agencies, and buying centers. Direct Digital operates and manages the online public communication services of Direct 8 and Direct Star. Finally, Direct Productions' main activity is the execution, at the request of the Direct 8 and Direct Star channels, of executive production services for audiovisual programs.  </w:t>
        <w:br/>
        <w:t xml:space="preserve">4. According to the protocol dated December 1, 2011, the Bolloré group committed to provide the Vivendi group with 60% of the capital and voting rights of the companies Direct 8 and Direct Star and the entirety of the capital and voting rights of the companies Direct Productions, Direct Digital, and Bolloré Intermédia. To govern their relations as shareholders of the companies Direct 8 and Direct Star, the Bolloré and Vivendi groups established the terms of a shareholders' agreement. According to this agreement, Direct 8 and Direct Star will be governed by a board of directors composed of five members, three of whom will be appointed by Vivendi and two by the Bolloré group. The rights of the latter will not exceed what is normally granted to minority shareholders in order to protect their financial interests. As it results in the exclusive control of the companies Direct 8, Direct Star, Direct Productions, Direct Digital, and Bolloré Intermédia (hereinafter collectively referred to as "the target companies") by the Vivendi group, the notified operation constitutes a concentration within the meaning of Article L. 430-1 of the Commercial Code.  </w:t>
        <w:br/>
        <w:t>5. The concerned companies together generate a total worldwide turnover of over 150 million euros (Vivendi group: 28.9 billion euros for the last closed financial year; target companies: […] million euros for the last closed financial year). Each of these companies has generated, in France, a turnover exceeding 50 million euros (Vivendi group: 17.1 billion euros for the last closed financial year; target companies: […] million euros for the last closed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Serious doubts regarding competition harm  </w:t>
        <w:br/>
        <w:t xml:space="preserve">6. The examination provided for in I of Article L. 430-5 of the Commercial Code, which has been carried out, leaves serious doubts regarding competition harm at this stage of the procedure. Indeed, GCP is the leading French pay television group and will extend its activities to free television through this acquisition. The operation also results in a strengthening of the vertical integration of GCP's activities.  </w:t>
        <w:br/>
        <w:t xml:space="preserve">A. SERIOUS DOUBTS REGARDING COMPETITION HARM THROUGH CONGLOMERATE EFFECTS  </w:t>
        <w:br/>
        <w:t xml:space="preserve">7. Pay and free television channels represent complementary outlets for holders of cinematographic and television series rights as they offer successive broadcasting windows. Under the media chronology, the first and second broadcasting windows for films on television concern pay services, with free-to-air broadcasting only being able to occur 22 to 30 months after the theatrical release of the films concerned. Similarly, although the media chronology does not apply to television series, American rights holders contractually arrange for a first broadcasting window on pay television prior to a broadcasting window on free television.  </w:t>
        <w:br/>
        <w:t xml:space="preserve">8. In contrast, rights holders for the broadcasting of sporting events may grant them to operators of both pay and free television, without organizing multiple broadcasting windows (the delayed viewing of events generally presents little interest for viewers). Therefore, buyers of pay and free television compete for the acquisition of rights. By exception, rights concerning "major events" as defined by Decree No. 2004-1392 of December 22, 2004, must be broadcast free-to-air and can therefore be acquired by both free and pay television channels.  </w:t>
        <w:br/>
        <w:t>9. The economic functioning of the free television sector differs from that of pay television. While pay television operators derive the majority of their revenues from subscriptions paid by viewers who subscribe to their services, free television channels derive the bulk of their revenues from the sale of advertising space. In this regard, the Competition Authority has already had the opportunity to observe the bifacial nature of the free television market, in that "the demand for television advertising is dependent on the audience of the channels, which is itself heavily reliant on the audiovisual content acquired by television channel publishers. Conversely, the purchasing power of free channels in rights markets is essentially dependent on their revenues from the television advertising market." The operation therefore involves two sectors whose economic functioning differs but which have close links of connectivity, as they concern similar and generally complementary services.</w:t>
      </w:r>
    </w:p>
    <w:p>
      <w:r>
        <w:rPr>
          <w:b/>
        </w:rPr>
        <w:t>[Pages 4–6]</w:t>
      </w:r>
    </w:p>
    <w:p>
      <w:r>
        <w:t>10. When the Competition Authority examines concentrations that have the effect of extending or strengthening a company's presence in several markets whose connectivity may allow it to increase its market power, it particularly investigates whether the entity resulting from the concentration will be able to restrict competition by leveraging the strong position it holds in one market to distort competition in a connected market through bundled or tied transactions. In this case, this risk could take the form of bundled or tied purchases through which GCP would exploit its position in pay television to obtain attractive broadcasting rights in free television. To assess this risk, the Authority examines whether the entity resulting from the concentration will have the capacity to implement this behavior, whether it will be incentivized to do so, and whether this will have a significant effect on the markets concerned.</w:t>
      </w:r>
    </w:p>
    <w:p>
      <w:r>
        <w:t>11. The existence of such effects therefore depends, first and foremost, on the new entity holding a strong position in a market from which it can leverage its power. Now, GCP has a very significant market power in the markets for acquiring rights for broadcasting on pay television. In the cinematographic field, GCP purchases nearly [70-80]% of the pay television broadcasting rights for recent American films and has entered into framework agreements with 5 of the 6 major American studios. GCP also represents more than [90-100]% of the amounts invested in the pre-purchase of films of French initiative, a market where the group is subject to specific investment obligations. Orange, which competed with GCP for the acquisition of both American and French film rights, is no longer independent of GCP since the establishment of a partnership between the two groups materialized by GCP's stake in Orange Cinéma Séries. As a result, there is no longer, in the current state of the market, an independent outlet from GCP for acquiring framework contracts for the first broadcasting windows of American films on pay television. Similarly, there is no longer an independent pay television operator from GCP for the pre-purchase of films in original French language ("EOF").</w:t>
      </w:r>
    </w:p>
    <w:p>
      <w:r>
        <w:t>12. GCP's market power is also very significant in the field of sports, particularly in football. GCP is the only television operator in France that has managed to maintain a viable exploitation of Ligue 1 rights despite the spectacular inflation in the value of purchasing these rights. To date, all other rights buyers who have attempted to compete with GCP in this market have exited the market or have been acquired by GCP. For the period 2012-2016, despite the entry of Al Jazira into the market, GCP purchased 74% of the linear lots of Ligue 1 football. GCP also holds the broadcasting rights for the most attractive major foreign championships (the Italian, Spanish, English, and Brazilian championships). Furthermore, GCP holds rights for the broadcasting of potentially […] major events other than football.</w:t>
      </w:r>
    </w:p>
    <w:p>
      <w:r>
        <w:t>13. GCP could be able to implement a strategy of tied or bundled purchases of pay and free rights for cinematographic content. The group indeed represents the bulk of rights purchases for pay television, both for American films and recent EOF films. In the case of recent American films, in the absence of any independent alternative to GCP for the sale of pay rights, studios will be strongly incentivized to agree to any tied or bundled purchase from GCP. In the case of EOF films, the essential nature of the investments made by GCP in the pre-purchase of films is underscored by the unanimity of the actors interviewed. According to a professional organization in the cinema sector, "the competitive advantage of Canal+ group channels over other French television channels, particularly TNT, is significantly strengthened [due to the operation]" as it will allow for the extension of the television exploitation of films pre-purchased by GCP to its free broadcasting windows.</w:t>
      </w:r>
    </w:p>
    <w:p>
      <w:r>
        <w:t>14. In terms of sports content, while free channels can theoretically compete with pay channels for the acquisition of rights, the decision-making practice considers that "the markets related to the purchase of sports rights do not all respond to equivalent competitive conditions. These vary depending on the sports content acquired: when it is sufficiently unifying and attractive, it can guarantee sufficient advertising revenues to operators and thus encourage free channels to compete with encrypted channels." Moreover, the free television sector is limited by the small number of channels and their programming constraints, since the regularity of championships, particularly the Ligue 1 football championship, "does not allow generalist channels to meet the programming constraints to which they are subject, and the financing of these channels through advertising and thus the necessity to prioritize events likely to unify a very varied audience and gather large audiences does not make the constraining programming of the championship as a whole attractive throughout the year." These rights, whose value is incomparable to that of other sporting events, are therefore not purchased by free television channels. This state of affairs practically leads to reserving the majority of rights for pay channels. The decision-making practice thus distinguishes between regular sporting events (championships, cups), for which competition is primarily driven by pay television operators, and events with less regularity, for which stronger competition exists between pay television operators and free television operators. The decision-making practice also distinguishes major sporting events, characterized by their very attractive content, which drives subscriptions and/or advertising resources, with the competitions listed by the decree thus being among the competitions that represent, outside of football rights, the most attractive sports content. However, following the operation, GCP will be able to offer an equivalent exposure to other free channels while providing a level of investment far superior to them due to its pay television revenues. The operation could therefore allow GCP to subsidize or support its free activities based on its resources and its role as an essential buyer in pay television.</w:t>
      </w:r>
    </w:p>
    <w:p>
      <w:r>
        <w:t>15. Regarding American series, GCP claims to suffer from a competitive disadvantage in acquiring certain content compared to operators such as TF1 and M6, which, thanks to their range of free and pay channels, can monetize content and offer rights holders significant purchasing power. According to GCP, TF1 and M6 have entered into framework agreements with rights holders ensuring them significant supply volumes and a priority choice of series. In this regard, GCP claims that the operation will grant it the capacity, by making the group both a publisher of pay channels and free channels, to "rebalance its position in certain upstream markets" and to offer "rights holders a more serious alternative to TF1 and M6."</w:t>
      </w:r>
    </w:p>
    <w:p>
      <w:r>
        <w:t>16. Nevertheless, the rights holders for series are essentially the same as for cinematographic works. Regardless of the current state of contractual relations between free channels and rights holders, these are of limited duration and will expire in a market where GCP will operate several free television channels and the only channels acquiring first-broadcast rights for films and series on pay television. It could therefore be capable of exercising leverage to the detriment of free channels.</w:t>
      </w:r>
    </w:p>
    <w:p>
      <w:r>
        <w:t>17. However, the elements gathered during the investigation show that the profitability of American series makes them a central content in the economy of free channels by allowing them to generate profit margins sufficient to compensate for losses incurred in the exploitation of other less profitable rights (particularly cinema and sports). In this context, GCP's entry into the free television sector will strengthen its purchasing power. Rights holders, who will largely depend on GCP for the sale of pay rights, particularly for the broadcasting of films in France, will have no incentive to oppose the implementation of a leverage effect. GCP will therefore be incentivized to preempt the rights to the most attractive series. Given the importance of American series in the profitability of free channels, the implementation of this strategy risks having a significant impact on competition.</w:t>
      </w:r>
    </w:p>
    <w:p>
      <w:r>
        <w:t>18. The possibility that GCP would rely on its position in the markets for acquiring pay rights to preempt attractive free rights raises, at this stage of the investigation, serious doubts about harm to competition insofar as they could distort the exercise of effective competition in the free television markets.</w:t>
      </w:r>
    </w:p>
    <w:p>
      <w:r>
        <w:t>19. Furthermore, the operation will significantly strengthen GCP's purchasing power regarding works of French expression. In this regard, it should be noted that the Minister of Economy has already observed that rights holders for works of French expression are unable to oppose GCP's will. The elements in the file show that GCP has already expressed to representatives of the French audiovisual production sector its intention to extend to Direct 8 and Direct Star the broadcasting rights acquired under its activities in pay television. The operation, by increasing GCP's purchasing power, risks reinforcing the dependence in which rights holders of works of French expression find themselves. It therefore raises, at this stage of the investigation, serious doubts about harm to competition.</w:t>
      </w:r>
    </w:p>
    <w:p>
      <w:r>
        <w:t>B. DOUBTS ABOUT HARM TO COMPETITION THROUGH VERTICAL EFFECTS</w:t>
      </w:r>
    </w:p>
    <w:p>
      <w:r>
        <w:t>20. The vertical effects of a concentration operation are studied when the operation brings together actors present at different levels of the value chain. A vertical concentration can restrict competition by making access to the markets in which the new entity will be active more difficult, or even potentially excluding competitors or penalizing them by increasing their costs.</w:t>
      </w:r>
    </w:p>
    <w:p>
      <w:r>
        <w:t>21. The operation will strengthen GCP's vertical integration in two respects. Firstly, GCP controls, through StudioCanal, the largest portfolio of so-called "catalog" films.</w:t>
      </w:r>
    </w:p>
    <w:p>
      <w:r>
        <w:rPr>
          <w:b/>
        </w:rPr>
        <w:t>[Pages 7–9]</w:t>
      </w:r>
    </w:p>
    <w:p>
      <w:r>
        <w:t>catalogue of StudioCanal represents more than [50-60]% market share in terms of the number of films, and StudioCanal is by far the leading seller of catalog film rights to free-to-air channels. Beyond mere quantitative aspects, the investigation has shown that the portfolio of rights held by StudioCanal is distinguished by the attractiveness of the films concerned, particularly for the new TNT channels. According to estimates submitted to the file, 28% of French films broadcast during prime time on TMC, NT1, Direct 8, W9, and NRJ 12, and 15% of films broadcast across all quotas during prime time on these same channels were StudioCanal films. Thus, the catalog of StudioCanal is notably distinguished by its importance in EOF films. An operator notes that StudioCanal "holds the main catalog of EOF and CEE films," a position that would contribute to making it a "reference" supplier in the market for channels subject to broadcasting obligations.</w:t>
      </w:r>
    </w:p>
    <w:p>
      <w:r>
        <w:t>22. Following the operation, GCP will therefore have the capacity to significantly restrict access for competing free-to-air channels to this type of input. GCP's incentive to implement this strategy appears strong as it will allow it to increase the attractiveness of Direct 8 and Direct Star and, consequently, their advertising revenues, to the detriment of competing channels for which StudioCanal currently represents the primary supplier of catalog films. At this stage of the investigation, the establishment of discriminatory (or at the very least "preferential") access for Direct 8 and Direct Star to the StudioCanal catalog seems all the more likely as it is one of the interests of the operation according to public statements made by the leader of the Bolloré group. The effects of the operation therefore raise serious doubts regarding harm to competition.</w:t>
      </w:r>
    </w:p>
    <w:p>
      <w:r>
        <w:t>23. Secondly, the operation will create a capital link between the Bolloré and Vivendi groups. The Bolloré group controls Havas and is the reference shareholder of Aegis, two of the main communication and media and digital marketing agencies. The investigation reveals that these agencies play a prescriptive role with advertisers to whom they make investment recommendations in the advertising spaces of television channels. They could therefore be in a position to favor GCP channels following the operation. Several estimates submitted to the file indicate that the investment amounts from Havas and Aegis are already significantly higher than the average share of investments from other agencies in Direct 8 and Direct Star. Following the operation, Vivendi could thus encourage the Bolloré group to favor the sale of advertising spaces on Direct 8 and Direct Star to the detriment of other free-to-air television channels.</w:t>
      </w:r>
    </w:p>
    <w:p>
      <w:r>
        <w:t>24. The effects of the operation therefore raise serious doubts regarding harm to competition as they could distort the exercise of effective competition in the free-to-air television and advertising markets.</w:t>
      </w:r>
    </w:p>
    <w:p>
      <w:r>
        <w:t>III. The insufficiency of the proposed commitments</w:t>
        <w:br/>
        <w:t>A. THE PROPOSED CORRECTIVE MEASURES</w:t>
      </w:r>
    </w:p>
    <w:p>
      <w:r>
        <w:t>25. On March 27, 2012, the date on which the 25 working days deadline for the examination of an operation set by Article L. 430-5 of the Commercial Code expired, the companies Vivendi and GCP proposed commitments consisting of various behavioral measures for a duration of 3 years, namely:</w:t>
        <w:br/>
        <w:t>- to conduct negotiations regarding the acquisition of rights for recent American films and the acquisition of rights for unreleased American films in a distinct manner;</w:t>
        <w:br/>
        <w:t>- not to tie, for more than 20 films acquired in a single calendar year, the acquisitions of rights for recent EOF films and for unreleased EOF films;</w:t>
        <w:br/>
        <w:t>- not to grant more favorable conditions to Direct 8 and Direct Star for the acquisition of rights for catalog films held by StudioCanal than those applied to other free digital terrestrial channels;</w:t>
        <w:br/>
        <w:t>- to limit to 6 months the duration of the transfer to Direct 8 and Direct Star of the television broadcasting rights for French and foreign catalog films marketed by StudioCanal;</w:t>
        <w:br/>
        <w:t>- not to broadcast on each of Direct 8 and Direct Star more than 5 major events, on average, per calendar year, for which the rights have been exclusively acquired by any of GCP's pay channels;</w:t>
        <w:br/>
        <w:t>- not to broadcast live on each of Direct 8 and Direct Star (i) more than 12 Ligue 1 football matches, on average per calendar year, and (ii) more than 4 hours of matches from the top 5 European leagues according to the UEFA index, on average per calendar year, for which the rights have been acquired by any of GCP's pay channels;</w:t>
        <w:br/>
        <w:t>- as long as the Bolloré group holds a stake in Vivendi, that Vivendi controls GCP, and within the limits of the duration of the commitments, not to grant preferential commercial conditions for the acquisition of advertising spaces on Direct 8 and Direct Star to advertisers who have mandated media agencies for the acquisition of advertising spaces, which the Bolloré group holds or will hold control over in the future.</w:t>
      </w:r>
    </w:p>
    <w:p>
      <w:r>
        <w:t>26. These commitments were subject to a market test with competitors of the parties, producers, and rights holders.</w:t>
      </w:r>
    </w:p>
    <w:p>
      <w:r>
        <w:t>B. INSUFFICIENCY OF THE PROPOSED MEASURES</w:t>
      </w:r>
    </w:p>
    <w:p>
      <w:r>
        <w:t>27. The commitments submitted by the notifying party do not resolve the serious doubts regarding the anti-competitive effects of the operation. Indeed, the responses to the market test highlighted the uncontrollable nature and inadequacy of the proposed behavioral measures to remedy the risks identified at this stage of the procedure.</w:t>
      </w:r>
    </w:p>
    <w:p>
      <w:r>
        <w:t>28. The proposed commitments do not include any measures related to the acquisitions of recent American and French series by the new entity. They therefore do not, on this sole basis, alleviate the serious doubts of hindrance to competition held by the Authority. For the rest, the proposed commitments preserve its capacity and incentives to implement the conglomerate and vertical effects on which the Authority has serious doubts.</w:t>
      </w:r>
    </w:p>
    <w:p>
      <w:r>
        <w:t>29. Regarding the acquisitions and subsequent broadcasting of recent and unreleased EOF films and sports rights, the proposed commitments consist of capping the content that GCP will broadcast on its free channels to levels currently unmatched in the free-to-air television sector. These commitments do not restrict GCP's exploitation of leverage for the acquisition and exploitation of rights. Moreover, by not making any changes to the structure of the new entity, the proposed commitments maintain intact its incentives to exploit the market power held by GCP in the acquisition of pay rights to favor its free television activities.</w:t>
      </w:r>
    </w:p>
    <w:p>
      <w:r>
        <w:t>30. Concerning the rights related to recent American films, GCP merely commits to conducting negotiations for the purchase of rights separately depending on whether they pertain to pay or free television broadcasting. However, this commitment constitutes only an obligation of means, as the notifying party does not prohibit itself from entering into contracts that tie or group pay and free rights, from implementing any behavior encouraging the conclusion of such contracts, or even from entrusting negotiations to the same teams. Furthermore, the implementation of commitments of this nature is not controllable, as GCP does not propose any measures allowing the Authority to ensure their effective realization. Certainly, the proposed commitments provide for monitoring by a representative, but this measure does not constitute a sufficient guarantee given, in particular, the incentive for rights holders to engage in tied or grouped sales to the benefit of the new entity.</w:t>
      </w:r>
    </w:p>
    <w:p>
      <w:r>
        <w:t>31. Regarding access to the StudioCanal catalog, GCP commits to refrain from favoring its own channels over other free channels. This commitment, which is not accompanied by any objective criteria allowing for the control of the behavior to which GCP proposes to commit, is inadequate. In practice, there is no reliable point of comparison to assess whether StudioCanal grants more or less favorable conditions to Direct 8 and Direct Star for the acquisition of catalog films: films have a very heterogeneous value, depending on their box office success, their age, and their broadcasting rank. Moreover, the prices of films can also vary depending on whether the film is purchased alone or as part of a global purchase contract. Without measures organizing the operational conditions for non-discriminatory access for Direct 8, Direct Star, and competing channels to the StudioCanal catalog, the proposed measures are ineffective.</w:t>
      </w:r>
    </w:p>
    <w:p>
      <w:r>
        <w:t>32. Furthermore, the responses to the market test specify that it is currently common for a channel acquiring a catalog work to benefit from exclusivity on that work for about 6 months. Consequently, the proposed commitment merely sets a practice that is already standard.</w:t>
      </w:r>
    </w:p>
    <w:p>
      <w:r>
        <w:t>33. Finally, regarding the commitment not to grant preferential commercial conditions for the acquisition of advertising spaces from Direct 8 and Direct Star, the market test also highlights its ineffectiveness, as Havas and Aegis can favor GCP channels without benefiting from preferential commercial conditions. Moreover, the responses to the market test emphasize that the proposed commitments do not define the "commercial conditions" concerned and are thus insufficient.</w:t>
      </w:r>
    </w:p>
    <w:p>
      <w:r>
        <w:rPr>
          <w:b/>
        </w:rPr>
        <w:t>[Pages 10–10]</w:t>
      </w:r>
    </w:p>
    <w:p>
      <w:r>
        <w:t>by this means, refraining from defining the objective criteria against which the Authority could monitor the effective implementation of the commitments.</w:t>
      </w:r>
    </w:p>
    <w:p>
      <w:r>
        <w:t>34. For all these reasons, as they emerge from the current state of the investigation, it is therefore necessary to initiate a thorough examination, pursuant to III of Article L. 430-5 of the Commercial Code.</w:t>
      </w:r>
    </w:p>
    <w:p>
      <w:r>
        <w:t>DECIDES</w:t>
      </w:r>
    </w:p>
    <w:p>
      <w:r>
        <w:t>Sole Article: The operation notified under number 11-239 is subject to a thorough examination under the conditions provided for in Article L. 430-6 of the Commercial Code.</w:t>
      </w:r>
    </w:p>
    <w:p>
      <w:r>
        <w:t>The Vice-President,</w:t>
        <w:br/>
        <w:t>Françoise Aubert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