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https://www.autoritedelaconcurrence.fr/fr/decision-de-controle-des-concentrations/relative-la-prise-de-controle-exclusif-des-societes-42</w:t>
      </w:r>
    </w:p>
    <w:p>
      <w:r>
        <w:t>Pages translated : 2</w:t>
      </w:r>
    </w:p>
    <w:p/>
    <w:p>
      <w:r>
        <w:rPr>
          <w:b/>
        </w:rPr>
        <w:t>[Pages 1–2]</w:t>
      </w:r>
    </w:p>
    <w:p>
      <w:r>
        <w:t xml:space="preserve">FRENCH REPUBLIC  </w:t>
        <w:br/>
        <w:t xml:space="preserve">Decision No. 22-DCC-116 of July 12, 2022  </w:t>
        <w:br/>
        <w:t xml:space="preserve">regarding the exclusive control acquisition of the companies Delhorbe Automobiles SAS, Delhorbe Auto Diffusion, Delhorbe Automobiles SARL, and Champagne Pick Up by the Hess Automobile group  </w:t>
        <w:br/>
        <w:t xml:space="preserve">The Competition Authority,  </w:t>
        <w:br/>
        <w:t xml:space="preserve">Having regard to the complete notification file submitted to the mergers department on June 27, 2022, concerning the exclusive control acquisition of the companies Delhorbe Automobiles SAS, Delhorbe Auto Diffusion, Delhorbe Automobiles SARL, and Champagne Pick Up by Centrale Automobile Strasbourg, the parent company of the Hess Automobile group, formalized by a letter of intent dated May 9,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companies Delhorbe Automobiles SAS, Delhorbe Auto Diffusion, Delhorbe Automobiles SARL, and Champagne Pick Up operating car dealerships in Dizy (51), Reims (51), and Saint-Martin-sur-le-Pré (51) by the Hess Automobile group. It constitutes a concentration operation within the meaning of Article L. 430-1 of the Commercial Code. Given the turnover generated by the companies concerned, the operation does not fall under the jurisdiction of the European Union. However, the retail trade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22-137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