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https://www.autoritedelaconcurrence.fr/fr/decision-de-controle-des-concentrations/relative-la-prise-de-controle-exclusif-des-societes-45</w:t>
      </w:r>
    </w:p>
    <w:p>
      <w:r>
        <w:t>Pages translated : 2</w:t>
      </w:r>
    </w:p>
    <w:p/>
    <w:p>
      <w:r>
        <w:rPr>
          <w:b/>
        </w:rPr>
        <w:t>[Pages 1–2]</w:t>
      </w:r>
    </w:p>
    <w:p>
      <w:r>
        <w:t xml:space="preserve">FRENCH REPUBLIC  </w:t>
        <w:br/>
        <w:t xml:space="preserve">Decision No. 22-DCC-211 of November 3, 2022  </w:t>
        <w:br/>
        <w:t xml:space="preserve">regarding the exclusive control acquisition of the companies  </w:t>
        <w:br/>
        <w:t xml:space="preserve">Cherbourg Auto Passion, CL Fournis Auto 27,  </w:t>
        <w:br/>
        <w:t xml:space="preserve">Claude Fournis Automobiles, and Manche Distribution Automobile by  </w:t>
        <w:br/>
        <w:t xml:space="preserve">the Legrand group  </w:t>
        <w:br/>
        <w:t xml:space="preserve">The Competition Authority,  </w:t>
        <w:br/>
        <w:t xml:space="preserve">Having regard to the notification file sent to the mergers department on October 17, 2022, declared  </w:t>
        <w:br/>
        <w:t xml:space="preserve">complete on October 25, 2022, concerning the exclusive control acquisition of the companies  </w:t>
        <w:br/>
        <w:t xml:space="preserve">Cherbourg Auto Passion, CL Fournis Auto 27, Claude Fournis Automobiles, and Manche  </w:t>
        <w:br/>
        <w:t xml:space="preserve">Distribution Automobile by the company Garage de l’Europe, formalized by a transfer and acquisition of shares agreement dated October 14, 2022;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party during the investigation;  </w:t>
        <w:br/>
        <w:t xml:space="preserve">Adopts the following decision:  </w:t>
        <w:br/>
        <w:t xml:space="preserve">1. The notified operation consists of the exclusive control acquisition by the company Garage de l’Europe,  </w:t>
        <w:br/>
        <w:t xml:space="preserve">the parent company of the Legrand group, of the companies Cherbourg Auto Passion, CL Fournis Auto 27,  </w:t>
        <w:br/>
        <w:t xml:space="preserve">Claude Fournis Automobiles, and Manche Distribution Automobile, active in the automotive distribution sector in the departments of Calvados (14), Eure (27), and Manche (50). It constitutes a concentration operation within the meaning of  </w:t>
        <w:br/>
        <w:t xml:space="preserve">Article L. 430-1 of the Commercial Code. Given the turnover achieved by the companies concerned, the operation does not fall under the jurisdiction of the European Union. However, the retail trade control thresholds mentioned in II of  </w:t>
        <w:br/>
        <w:t xml:space="preserve">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22-259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