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https://www.autoritedelaconcurrence.fr/fr/decision-de-controle-des-concentrations/relative-la-prise-de-controle-exclusif-des-societes-46</w:t>
      </w:r>
    </w:p>
    <w:p>
      <w:r>
        <w:t>Pages translated : 2</w:t>
      </w:r>
    </w:p>
    <w:p/>
    <w:p>
      <w:r>
        <w:rPr>
          <w:b/>
        </w:rPr>
        <w:t>[Pages 1–2]</w:t>
      </w:r>
    </w:p>
    <w:p>
      <w:r>
        <w:t xml:space="preserve">FRENCH REPUBLIC  </w:t>
        <w:br/>
        <w:t xml:space="preserve">Decision No. 22-DCC-239 of December 9, 2022  </w:t>
        <w:br/>
        <w:t xml:space="preserve">regarding the exclusive control acquisition of the companies Sobotram Transports et Logistique, Soboroute, Transports Berthelard, Transports Dupont Bedu, and Saône et Loire Express by the Blondel group  </w:t>
        <w:br/>
        <w:t xml:space="preserve">The Competition Authority,  </w:t>
        <w:br/>
        <w:t xml:space="preserve">Having regard to the complete notification file submitted to the mergers department on November 9, 2022, concerning the exclusive control acquisition by the Blondel group of the companies Sobotram Transports et Logistique, Soboroute, Transports Berthelard, Transports Dupont Bedu, and Saône et Loire Express, formalized by a letter of interest dated November 9,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Blondel group of the companies Sobotram Transports et Logistique, Soboroute, Transports Berthelard, Transports Dupont Bedu, and Saône et Loire Express, which are notably active in the sectors of road freight transport, logistics services, and transport brokerage.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22-285 is authorized.  </w:t>
        <w:br/>
        <w:t xml:space="preserve">The President,  </w:t>
        <w:br/>
        <w:t xml:space="preserve">Benoît Cœuré  </w:t>
        <w:br/>
        <w:t xml:space="preserve">© Competition Authority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