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https://www.autoritedelaconcurrence.fr/fr/decision-de-controle-des-concentrations/relative-la-prise-de-controle-exclusif-des-societes-47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23-DCC-02 of January 6, 2023  </w:t>
        <w:br/>
        <w:t xml:space="preserve">regarding the exclusive control acquisition of the companies Centrale  </w:t>
        <w:br/>
        <w:t xml:space="preserve">Photovoltaïque de Crucey 1, Centrale Photovoltaïque de Toul-Rosières  </w:t>
        <w:br/>
        <w:t xml:space="preserve">1, Centrale Photovoltaïque de Massangis 2, and Éole Nord de France 1  </w:t>
        <w:br/>
        <w:t xml:space="preserve">by the EDF group  </w:t>
        <w:br/>
        <w:t xml:space="preserve">The Competition Authority,  </w:t>
        <w:br/>
        <w:t xml:space="preserve">Having regard to the complete notification file submitted to the mergers department on December 6, 2022,  </w:t>
        <w:br/>
        <w:t xml:space="preserve">concerning the exclusive control acquisition of the companies Centrale Photovoltaïque de Crucey 1, Centrale  </w:t>
        <w:br/>
        <w:t xml:space="preserve">Photovoltaïque de Toul-Rosières 1, Centrale Photovoltaïque de Massangis 2, and Éole Nord de  </w:t>
        <w:br/>
        <w:t xml:space="preserve">France 1, by the company EDF Renouvelables France, formalized by a share purchase agreement dated October 12, 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EDF Renouvelables  </w:t>
        <w:br/>
        <w:t xml:space="preserve">France, a subsidiary of the EDF group, of the companies Centrale Photovoltaïque de Crucey 1, Centrale  </w:t>
        <w:br/>
        <w:t xml:space="preserve">Photovoltaïque de Toul-Rosières 1, Centrale Photovoltaïque de Massangis 2, and Éole Nord de  </w:t>
        <w:br/>
        <w:t xml:space="preserve">France 1. The parties are both active in the production of renewable energies. The operation constitutes a concentration within the meaning of Article L. 430-1 of the Commercial Code.  </w:t>
        <w:br/>
        <w:t xml:space="preserve">Considering the turnover achieved by the concerned companies, the operation does not fall under the jurisdiction of the European Union. On the other hand, the control thresholds mentioned in I of Article L. 430-2 of the Commercial Code are exceeded. The present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22-264 is authorized.  </w:t>
        <w:br/>
        <w:t xml:space="preserve">The Vice-President,  </w:t>
        <w:br/>
        <w:t xml:space="preserve">Henri Piffaut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