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https://www.autoritedelaconcurrence.fr/fr/decision-de-controle-des-concentrations/relative-la-prise-de-controle-exclusif-des-societes-48</w:t>
      </w:r>
    </w:p>
    <w:p>
      <w:r>
        <w:t>Pages translated : 2</w:t>
      </w:r>
    </w:p>
    <w:p/>
    <w:p>
      <w:r>
        <w:rPr>
          <w:b/>
        </w:rPr>
        <w:t>[Pages 1–2]</w:t>
      </w:r>
    </w:p>
    <w:p>
      <w:r>
        <w:t xml:space="preserve">FRENCH REPUBLIC  </w:t>
        <w:br/>
        <w:t xml:space="preserve">Decision No. 23-DCC-22 of January 26, 2023  </w:t>
        <w:br/>
        <w:t xml:space="preserve">regarding the exclusive control acquisition of the companies Berrezai, Rance Automobile, and Acd Location by the Gemy group  </w:t>
        <w:br/>
        <w:t xml:space="preserve">The Competition Authority,  </w:t>
        <w:br/>
        <w:t xml:space="preserve">Having regard to the complete notification file submitted to the mergers department on January 6, 2023, concerning the exclusive control acquisition of the companies Berrezai and Rance Automobile by the company Gemy Bretagne, a subsidiary of the Gemy group, and of the company Acd Location by the company Gemy Automobiles Location, a subsidiary of the Gemy group, formalized by a letter of intent dated November 10,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Gemy group of the companies Berrezai and Rance Automobile, operating automobile distribution businesses under the Citroën and DS brands, in La Richardais (35), Saint-Malo (35), and Quévert (35), and of the company Acd Location, operating a gas station and a short-term car rental agency under the Sixt brand.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22-328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