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https://www.autoritedelaconcurrence.fr/fr/decision-de-controle-des-concentrations/relative-la-prise-de-controle-exclusif-des-societes-49</w:t>
      </w:r>
    </w:p>
    <w:p>
      <w:r>
        <w:t>Pages translated : 2</w:t>
      </w:r>
    </w:p>
    <w:p/>
    <w:p>
      <w:r>
        <w:rPr>
          <w:b/>
        </w:rPr>
        <w:t>[Pages 1–2]</w:t>
      </w:r>
    </w:p>
    <w:p>
      <w:r>
        <w:t xml:space="preserve">FRENCH REPUBLIC  </w:t>
        <w:br/>
        <w:t xml:space="preserve">Decision No. 23-DCC-87 of May 16, 2023  </w:t>
        <w:br/>
        <w:t xml:space="preserve">regarding the exclusive control acquisition of the companies Transport Caillot,  </w:t>
        <w:br/>
        <w:t xml:space="preserve">Cail-Loc, Béthény Transports, and eighteen real estate companies (SCI), by the  </w:t>
        <w:br/>
        <w:t>Charles André group</w:t>
      </w:r>
    </w:p>
    <w:p>
      <w:r>
        <w:t>The Competition Authority,</w:t>
      </w:r>
    </w:p>
    <w:p>
      <w:r>
        <w:t xml:space="preserve">Having regard to the complete notification file submitted to the mergers department on April 27, 2023,  </w:t>
        <w:br/>
        <w:t xml:space="preserve">concerning the exclusive control acquisition of the companies Transport Caillot, Cail-Loc, Béthény  </w:t>
        <w:br/>
        <w:t xml:space="preserve">Transports, and eighteen real estate companies (SCI), by the Charles André group, formalized by a purchase promise  </w:t>
        <w:br/>
        <w:t>dated March 30, 2023;</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of the companies Transport Caillot,  </w:t>
        <w:br/>
        <w:t xml:space="preserve">Cail-Loc, Béthény Transports, and eighteen real estate companies (SCI), belonging to the Caillot group, by the Charles André group, active notably in the sectors of road freight transport and logistics services. It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23-075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