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w:t>
      </w:r>
    </w:p>
    <w:p>
      <w:r>
        <w:t>Pages translated : 9</w:t>
      </w:r>
    </w:p>
    <w:p/>
    <w:p>
      <w:r>
        <w:rPr>
          <w:b/>
        </w:rPr>
        <w:t>[Pages 1–3]</w:t>
      </w:r>
    </w:p>
    <w:p>
      <w:r>
        <w:t xml:space="preserve">FRENCH REPUBLIC  </w:t>
        <w:br/>
        <w:t xml:space="preserve">Decision No. 12-DCC-98 of July 20, 2012  </w:t>
        <w:br/>
        <w:t xml:space="preserve">regarding the exclusive control of the companies Financière TWLC,  </w:t>
        <w:br/>
        <w:t xml:space="preserve">Swiss Fashion Time, PT Switzerland, PE Time Design, Swiss Watch  </w:t>
        <w:br/>
        <w:t xml:space="preserve">Group FZCO, Fortune Concept Limited, and PT Far East Limited  </w:t>
        <w:br/>
        <w:t>by the company L Capital Management SAS</w:t>
      </w:r>
    </w:p>
    <w:p>
      <w:r>
        <w:t xml:space="preserve">The Competition Authority,  </w:t>
        <w:br/>
        <w:t xml:space="preserve">Having regard to the notification file submitted in full to the merger service on June 15, 2012,  </w:t>
        <w:br/>
        <w:t xml:space="preserve">regarding the exclusive control of the companies Financière TWLC, Swiss Fashion Time  </w:t>
        <w:br/>
        <w:t xml:space="preserve">GmbH, PT Switzerland GmbH, PE Time Design GmbH, Swiss Watch Group FZCO, Fortune  </w:t>
        <w:br/>
        <w:t xml:space="preserve">Concept Limited, and PT Far East Limited by the company L Capital Management SAS, through  </w:t>
        <w:br/>
        <w:t xml:space="preserve">the risk capital mutual fund ("FCPR") L Capital 3, formalized by a memorandum of understanding dated April 26, 2012;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L Capital Management SAS (hereinafter "L Capital") is the management company of the FCPR L  </w:t>
        <w:br/>
        <w:t xml:space="preserve">Capital 2 and 3, and controls, as such, companies present in the sectors of ready-to-wear clothing, jewelry, and furniture, as well as, jointly, the TWC group, active in the sale of fashion accessories. L Capital is itself controlled by LVMH-Moët Hennessy-Louis Vuitton SA, the company at the head of the LVMH group, active in the luxury sector.  </w:t>
        <w:br/>
        <w:t>LVMH operates in six major business areas: fashion and leather goods, wines and spirits, selective distribution, perfumes and cosmetics, watches and jewelry, press and media. LVMH is controlled by the company Groupe Arnault SAS, which is itself controlled by Mr. Bernard Arnault. Groupe Arnault SAS also holds control of Christian Dior SA, a public limited company also active in the luxury sector.</w:t>
      </w:r>
    </w:p>
    <w:p>
      <w:r>
        <w:t xml:space="preserve">2. Financière TWLC is at the head of the TWC group, active in the wholesale sector of mid-range fashion accessories (eyewear, leather goods, jewelry, watches), as well as, marginally, in the retail distribution sector in stores under the Scooter brand. Financière TWLC is jointly controlled by L Capital and by Financière Molière, an independent family company active in private equity and real estate investment.  </w:t>
        <w:br/>
        <w:t xml:space="preserve">3. Swiss Fashion Time GmbH, PT Switzerland GmbH, PE Time Design GmbH, Swiss Watch Group FZCO, Fortune Concept Limited, and PT Far East Limited (hereinafter "the other target companies") are part of the Swiss Watch group, active in the production and wholesale sale of watches and jewelry, jointly controlled by Messrs. X, Y, and Z.  </w:t>
        <w:br/>
        <w:t xml:space="preserve">4. Under the memorandum of understanding signed on April 26, 2012, between Messrs. X, Y, and Z, Financière Molière, and L Capital, the notified operation consists of the creation for the needs of the operation of New Lux Co, which will be controlled by L Capital and will acquire 100% of the capital and voting rights of Financière TWLC and the other target companies.  </w:t>
        <w:br/>
        <w:t xml:space="preserve">5. Following the operation, L Capital will own […]% of the capital of New Lux Co. Financière Molière will hold […]% and the company Bright Time Holdings, comprising Messrs. X, Y, and Z and other individuals, […]%. No shareholder will have a majority allowing them to adopt a strategic decision alone. However, L Capital will exercise exclusive negative control over New Lux Co since, in accordance with the provisions of the shareholders' agreement, only L Capital will have a veto right for making strategic decisions [Confidential].  </w:t>
        <w:br/>
        <w:t xml:space="preserve">6. At the same time, the operation directly grants L Capital exclusive negative control over Financière TWLC. A strategic committee, called the TWLC committee, will comprise […] members, with L Capital, Financière Molière, and Bright Time Holdings each designating […]. As is provided for New Lux Co, L Capital will be the only one with a veto right over the strategic decisions of this committee.  </w:t>
        <w:br/>
        <w:t xml:space="preserve">7. The two operations, namely the exclusive control by L Capital, via New Lux Co, of the other target companies and the transition from joint control to exclusive control over Financière TWLC, exercised by L Capital, have been subject to the signing of the same memorandum of understanding providing for mutual obligations between the shareholders of Financière TWLC and the shareholders of the aforementioned other target companies. There is therefore a reciprocal conditionality between the two aforementioned operations whose realization must be simultaneous. They thus constitute interdependent operations and in accordance with the guidelines of the Competition Authority1, they constitute a single concentration within the meaning of Article L. 430-1 of the Commercial Code.  </w:t>
        <w:br/>
        <w:t>8. The concerned companies together achieve a total worldwide turnover of more than 150 million euros (LVMH and Christian Dior groups: […] billion euros for the fiscal year ending December 31, 2011; TWC group: […] million euros for the same fiscal year; the other target companies: […] million euros for the same fiscal year). At least two of these companies achieve a turnover in France exceeding 50 million euros (LVMH and Christian Dior groups: […] billion euros for the fiscal year ending December 31, 2011; TWC group: […]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9. The TWC group and the other target companies are present in the wholesale distribution sector of mid-range fashion accessories (eyewear, leather goods, jewelry, watches). The TWC group is also present, marginally, in France, in the retail distribution sector of fashion accessories through stores under the Scooter brand. The LVMH and Christian Dior groups are present in the luxury sector, which is related to that of fashion accessories. The LVMH group is also present, marginally, in the retail distribution sector of fashion accessories, located downstream of the wholesale distribution of fashion accessories through the Le Bon Marché store and the Maje, Sandro, and Claudie Pierlot stores.  </w:t>
        <w:br/>
        <w:t>10. In terms of distribution, decisional practice usually distinguishes the wholesale distribution market, where wholesalers sell products to distributors, which is distinct from the supply markets where wholesalers and retail distribution companies source from manufacturers. The wholesale distribution market is also distinguished from the downstream retail distribution markets, where distributors sell products to final consumers.</w:t>
      </w:r>
    </w:p>
    <w:p>
      <w:r>
        <w:t xml:space="preserve">A. SUPPLY MARKETS FOR FASHION ACCESSORIES (EXCLUDING LUXURY PRODUCTS) FROM MANUFACTURERS  </w:t>
        <w:br/>
        <w:t xml:space="preserve">11. Decisional practice has never ruled on the definition of upstream supply markets for fashion accessories from manufacturers. However, practice has considered, without definitively resolving the issue, the existence of a supply market for watches, jewelry, and goldsmithing as well as for costume jewelry2.  </w:t>
        <w:br/>
        <w:t xml:space="preserve">12. The parties consider that distinct markets can be defined based on the type of product purchased and notably, in this case: (i) eyewear, (ii) leather goods, (iii) watches, and (iv) jewelry.  </w:t>
        <w:br/>
        <w:t xml:space="preserve">13. Regarding the geographical dimension of these supply markets, the parties consider that they are global markets. Mid-range fashion accessories are indeed manufactured by manufacturers located outside the European Union.  </w:t>
        <w:br/>
        <w:t xml:space="preserve">14. This position is consistent with decisional practice regarding upstream supply markets for clothing or footwear, which are of a global dimension given the  </w:t>
        <w:br/>
        <w:t xml:space="preserve">2 Decision No. 10-DCC-140 of October 13, 2010, regarding the exclusive control of the companies Histoire d’Or Europe SAS and Financière MO Holding SAS by Bridgepoint Capital Groupe Limited.  </w:t>
        <w:br/>
        <w:t>3</w:t>
      </w:r>
    </w:p>
    <w:p>
      <w:r>
        <w:rPr>
          <w:b/>
        </w:rPr>
        <w:t>[Pages 4–6]</w:t>
      </w:r>
    </w:p>
    <w:p>
      <w:r>
        <w:t>The fact that clothing product manufacturers are foreign manufacturers located primarily outside the European Union3.</w:t>
      </w:r>
    </w:p>
    <w:p>
      <w:r>
        <w:t>15. In any event, for the purposes of the present transaction, the exact definition of the relevant market can be left open insofar as the conclusions of the competitive analysis will remain unchanged regardless of the definition and delimitation adopted.</w:t>
      </w:r>
    </w:p>
    <w:p>
      <w:r>
        <w:t>B. WHOLESALE DISTRIBUTION MARKETS FOR FASHION ACCESSORIES</w:t>
      </w:r>
    </w:p>
    <w:p>
      <w:r>
        <w:t>16. Decision-making practice has recognized the existence of distinct wholesale distribution markets for accessories according to the different types of accessories.</w:t>
      </w:r>
    </w:p>
    <w:p>
      <w:r>
        <w:t>1. WHOLESALE DISTRIBUTION MARKETS FOR WATCH AND JEWELRY PRODUCTS, EXCLUDING LUXURY PRODUCTS</w:t>
      </w:r>
    </w:p>
    <w:p>
      <w:r>
        <w:t>17. Decision-making practice4 has defined wholesale distribution markets for jewelry and watch products, jewelry and goldsmithing ("HBJO"), excluding luxury products. Among these markets, it has retained a segmentation by product types distinguishing the wholesale distribution of (i) small volume watches5, (ii) precious jewelry6, and (iii) non-precious jewelry. The practice has also distinguished the wholesale distribution market for costume jewelry7. There is no reason to challenge this segmentation in this case.</w:t>
      </w:r>
    </w:p>
    <w:p>
      <w:r>
        <w:t>18. The parties consider that these markets are of a global dimension since the main wholesalers present in these markets are established worldwide and are global players.</w:t>
      </w:r>
    </w:p>
    <w:p>
      <w:r>
        <w:t>19. In any event, for the purposes of the present transaction, the exact definition of the relevant market can be left open insofar as the conclusions of the competitive analysis will remain unchanged regardless of the definition and delimitation adopted.</w:t>
      </w:r>
    </w:p>
    <w:p>
      <w:r>
        <w:t>2. WHOLESALE DISTRIBUTION MARKETS FOR EYEWEAR, EXCLUDING LUXURY PRODUCTS</w:t>
      </w:r>
    </w:p>
    <w:p>
      <w:r>
        <w:t>20. Decision-making practice distinguishes the wholesale distribution markets for medical eyewear (spectacle lenses, contact lenses) from the wholesale distribution markets for non-medical eyewear items (frames, sunglasses, and sports glasses)8. There is no reason to challenge this segmentation in this case.</w:t>
      </w:r>
    </w:p>
    <w:p>
      <w:r>
        <w:t>21. The parties consider that these markets would be of a global dimension due to the emergence of foreign competitors, particularly Italian ones.</w:t>
      </w:r>
    </w:p>
    <w:p>
      <w:r>
        <w:t>22. In any event, for the purposes of the present transaction, the exact definition of the relevant market can be left open insofar as the conclusions of the competitive analysis will remain unchanged regardless of the definition and delimitation adopted.</w:t>
      </w:r>
    </w:p>
    <w:p>
      <w:r>
        <w:t>3. WHOLESALE DISTRIBUTION MARKETS FOR LEATHER GOODS, EXCLUDING LUXURY PRODUCTS</w:t>
      </w:r>
    </w:p>
    <w:p>
      <w:r>
        <w:t>23. Decision-making practice9 considers leather goods as a segment of the clothing and ready-to-wear market. In the context of this decision, the question of whether leather goods belong to a distinct market can be left open, with the conclusions of the competitive analysis remaining unchanged.</w:t>
      </w:r>
    </w:p>
    <w:p>
      <w:r>
        <w:t>24. The parties consider that the wholesale distribution market for leather goods, like that of other clothing and ready-to-wear products, is of a global dimension.</w:t>
      </w:r>
    </w:p>
    <w:p>
      <w:r>
        <w:t>25. In any event, for the purposes of the present transaction, the exact delimitation of the relevant market can be left open insofar as the conclusions of the competitive analysis will remain unchanged regardless of the delimitation adopted.</w:t>
      </w:r>
    </w:p>
    <w:p>
      <w:r>
        <w:t>C. RETAIL DISTRIBUTION MARKETS FOR FASHION ACCESSORIES (EXCLUDING LUXURY PRODUCTS)</w:t>
      </w:r>
    </w:p>
    <w:p>
      <w:r>
        <w:t>26. Regarding the retail distribution of watch, jewelry, goldsmithing, and silverware products (excluding luxury products), decision-making practice10 retains the same segmentation as for the wholesale markets between the markets (i) for small volume watches, (ii) for precious jewelry, and (iii) for non-precious jewelry, which are distinguished from that of costume jewelry. Furthermore, decision-making practice11 has considered the existence of a segmentation of the retail distribution market for small volume watch products by price level. In this case, the question of the existence of such sub-segmentation can be left open, insofar as, regardless of the level of market segmentation, the conclusions of the competitive analysis will remain unchanged.</w:t>
      </w:r>
    </w:p>
    <w:p>
      <w:r>
        <w:t>27. Regarding the retail distribution of eyewear, decision-making practice12 has retained a segmentation between (i) the market for medical eyewear and items and (ii) the market for non-medical eyewear and items.</w:t>
      </w:r>
    </w:p>
    <w:p>
      <w:r>
        <w:t>28. Regarding the retail distribution of leather goods, decision-making practice13 has considered that these products constitute a segment of the clothing and ready-to-wear market.</w:t>
      </w:r>
    </w:p>
    <w:p>
      <w:r>
        <w:t>29. Finally, decisional practice14 considers that the retail distribution markets for fashion accessories (excluding luxury products) are of a local dimension.</w:t>
      </w:r>
    </w:p>
    <w:p>
      <w:r>
        <w:t>D. LUXURY PRODUCTS MARKETS</w:t>
      </w:r>
    </w:p>
    <w:p>
      <w:r>
        <w:t>30. European15 and national16 decisional practice has defined luxury products (cosmetics, haute couture or designer clothing, luxury ready-to-wear for men and women, leather goods) as high-quality items, relatively high-priced, and marketed under a prestigious brand. From the demand perspective, luxury products are very poorly substitutable with other products.</w:t>
      </w:r>
    </w:p>
    <w:p>
      <w:r>
        <w:t>31. The distribution of luxury products must be distinguished from the distribution of other products in that it is characterized by a network of authorized retail outlets established by manufacturers according to qualitative criteria relating in particular to their location, geographical environment, and interior layout, allowing for appropriate presentation of the products as well as the presence of specialized professional advice. These criteria primarily aim to protect the image of the brands. In contrast, the sale of ordinary products does not require such an environment, and these products are available in a much more diverse network of retail outlets17. Decision-making practice has therefore considered the existence of a distinct market for the distribution of luxury products18.</w:t>
      </w:r>
    </w:p>
    <w:p>
      <w:r>
        <w:t>32. In any event, for the purposes of the present transaction, the question of the exact definition of the market can be left open insofar as, regardless of the delimitation adopted, the conclusions of the analysis will remain unchanged.</w:t>
      </w:r>
    </w:p>
    <w:p>
      <w:r>
        <w:t>33. Decision-making practice19 considers that the luxury market is at least a community dimension market.</w:t>
      </w:r>
    </w:p>
    <w:p>
      <w:r>
        <w:rPr>
          <w:b/>
        </w:rPr>
        <w:t>[Pages 7–9]</w:t>
      </w:r>
    </w:p>
    <w:p>
      <w:r>
        <w:t xml:space="preserve">III. Competitive Analysis  </w:t>
        <w:br/>
        <w:t xml:space="preserve">A. ANALYSIS OF HORIZONTAL EFFECTS  </w:t>
        <w:br/>
        <w:t xml:space="preserve">1. MARKETS FOR SUPPLYING FASHION ACCESSORIES (EXCLUDING LUXURY PRODUCTS) FROM MANUFACTURERS  </w:t>
        <w:br/>
        <w:t xml:space="preserve">34. In the global markets for supplying fashion accessories (excluding luxury products), regardless of the segmentation adopted, the combined market shares of the parties to the transaction will be less than [0-5] %.  </w:t>
        <w:br/>
        <w:t xml:space="preserve">35. The transaction is therefore not likely to harm competition in these markets.  </w:t>
        <w:br/>
        <w:t xml:space="preserve">2. WHOLESALE DISTRIBUTION MARKETS FOR FASHION ACCESSORIES (EXCLUDING LUXURY PRODUCTS)  </w:t>
        <w:br/>
        <w:t xml:space="preserve">36. Only the TWC group and the other target companies are present in the wholesale distribution markets for accessories, with the LVMH group and Christian Dior having no activities in this market.  </w:t>
        <w:br/>
        <w:t xml:space="preserve">37. The parties have provided estimates of their market shares and those of their competitors in the wholesale distribution markets for HBJO products and costume jewelry, eyewear, and leather goods in France and worldwide.  </w:t>
        <w:br/>
        <w:t xml:space="preserve">38. Thus, at the global level, the parties will hold a market share of less than [0-5] %, regardless of the market considered. At the national level, the combined market share of TWC and the other target companies is [0-5] % in wholesale distribution of HBJO products. Similarly, their combined share of the wholesale distribution markets for jewelry and costume jewelry is less than [0-5] %. They also represent [10-20] % of the small-volume watch market ([10-20] % for TWC and [0-5] % for the other target companies), where the parties will face competition from operators such as Swatch Group, International Bullion &amp; Metal Brokers, Festina, and Casio.  </w:t>
        <w:br/>
        <w:t xml:space="preserve">39. In the French wholesale distribution market for eyewear and non-medical eyewear items, as well as in the French wholesale distribution market for leather goods, the transaction will not result in any overlap of activities since the TWC group is the only party operating in these areas.  </w:t>
        <w:br/>
        <w:t xml:space="preserve">40. In light of these elements, the transaction is not likely to harm competition in the wholesale distribution markets for accessories (excluding luxury products) through horizontal effects.  </w:t>
        <w:br/>
        <w:t xml:space="preserve">3. RETAIL DISTRIBUTION MARKETS FOR ACCESSORIES (EXCLUDING LUXURY PRODUCTS)  </w:t>
        <w:br/>
        <w:t xml:space="preserve">41. The LVMH group is present in the retail distribution sector for accessories (excluding luxury products) through the Le Bon Marché, Sandro, Maje, and Claudie Pierlot stores. The Scooter stores, which are part of the TWC group, also sell some jewelry and leather goods.  </w:t>
        <w:br/>
        <w:t xml:space="preserve">42. The activities of the parties only overlap in the retail distribution markets for jewelry and leather goods, where the transaction results in an extremely limited overlap since the TWC group's stores represent less than [0-5] % of the national retail distribution markets for jewelry and leather goods (excluding luxury products). Even though the parties were unable to provide a local analysis of the overlaps, it appears from the file that the combined market share of the parties will remain below [0-5] % in these markets.  </w:t>
        <w:br/>
        <w:t xml:space="preserve">43. Therefore, in view of the aforementioned elements, the transaction is not likely to harm competition in the retail distribution markets for accessories (excluding luxury products).  </w:t>
        <w:br/>
        <w:t xml:space="preserve">B. ANALYSIS OF VERTICAL EFFECTS  </w:t>
        <w:br/>
        <w:t xml:space="preserve">44.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of competition authorities generally dismisses lock-in risks when the market share of the company resulting from the transaction in the relevant markets does not exceed 30 %.  </w:t>
        <w:br/>
        <w:t xml:space="preserve">45. In this case, the target companies are present in the wholesale distribution markets for accessories, and LVMH (Le Bon Marché, Maje, Sandro, Claudie Pierlot), as well as the Scooter company, are active in the downstream retail distribution markets for accessories. However, as mentioned above, the parties hold a combined market share of less than [10-20] %, regardless of the segmentation and geographical delimitation adopted, in the relevant wholesale markets, with the transaction resulting in an increment of less than [0-5] % in these markets.  </w:t>
        <w:br/>
        <w:t xml:space="preserve">46. Furthermore, in the downstream retail distribution markets for accessories, the parties are present in a marginal way and hold a national market share of less than [0-5] %.  </w:t>
        <w:br/>
        <w:t>47. Therefore, the transaction is not likely to harm competition through vertical effects.</w:t>
      </w:r>
    </w:p>
    <w:p>
      <w:r>
        <w:t xml:space="preserve">DECIDES  </w:t>
        <w:br/>
        <w:t xml:space="preserve">Sole Article: The transaction notified under number 12-089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