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https://www.autoritedelaconcurrence.fr/fr/decision-de-controle-des-concentrations/relative-la-prise-de-controle-exclusif-des-societes-50</w:t>
      </w:r>
    </w:p>
    <w:p>
      <w:r>
        <w:t>Pages translated : 2</w:t>
      </w:r>
    </w:p>
    <w:p/>
    <w:p>
      <w:r>
        <w:rPr>
          <w:b/>
        </w:rPr>
        <w:t>[Pages 1–2]</w:t>
      </w:r>
    </w:p>
    <w:p>
      <w:r>
        <w:t xml:space="preserve">FRENCH REPUBLIC  </w:t>
        <w:br/>
        <w:t xml:space="preserve">Decision No. 23-DCC-140 of July 20, 2023  </w:t>
        <w:br/>
        <w:t xml:space="preserve">regarding the exclusive control acquisition of the companies Garage Michel,  </w:t>
        <w:br/>
        <w:t xml:space="preserve">Garage Dittel, Automobiles Michel, Technauto, and PME Informatique et Services by the company A.C. Invest  </w:t>
        <w:br/>
        <w:t xml:space="preserve">The Competition Authority,  </w:t>
        <w:br/>
        <w:t xml:space="preserve">Having regard to the complete notification file submitted to the mergers department on June 30, 2023,  </w:t>
        <w:br/>
        <w:t xml:space="preserve">concerning the exclusive control acquisition by the company A.C. Invest of the companies Garage Michel,  </w:t>
        <w:br/>
        <w:t xml:space="preserve">Garage Dittel, Automobiles Michel, Technauto, and PME Informatique et Services,  </w:t>
        <w:br/>
        <w:t xml:space="preserve">formalized by a letter of intent dated April 19,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companies Garage Michel, Garage  </w:t>
        <w:br/>
        <w:t xml:space="preserve">Dittel, Automobiles Michel, and Technauto, which are active in the automobile distribution sector in the departments of Bas-Rhin (67), Haut-Rhin (68), and Vosges (88), and of PME Informatique et Services, which is active in the field of computing, by the company A.C. Invest, which is itself active in the automobile distribution sector. It constitutes a concentration operation within the meaning of Article L. 430-1 of the Commercial Code. Given the turnover generated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23-129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