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https://www.autoritedelaconcurrence.fr/fr/decision-de-controle-des-concentrations/relative-la-prise-de-controle-exclusif-des-societes-52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23-DCC-180 of September 5, 2023  </w:t>
        <w:br/>
        <w:t xml:space="preserve">regarding the exclusive control acquisition of the companies  </w:t>
        <w:br/>
        <w:t xml:space="preserve">Établissements H. Jean and Société diffusion automobiles by the company  </w:t>
        <w:br/>
        <w:t xml:space="preserve">Synethis  </w:t>
        <w:br/>
        <w:t xml:space="preserve">The Competition Authority,  </w:t>
        <w:br/>
        <w:t xml:space="preserve">Having regard to the complete notification file submitted to the mergers department on August 21, 2023,  </w:t>
        <w:br/>
        <w:t xml:space="preserve">concerning the acquisition of control over the companies Établissements H. Jean and Société diffusion automobiles  </w:t>
        <w:br/>
        <w:t xml:space="preserve">(hereinafter "SDA"), formalized by the transfer protocol of December 15,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companies Établissements H. Jean  </w:t>
        <w:br/>
        <w:t xml:space="preserve">and Société diffusion automobiles, which operate automotive distribution businesses located in Aubenas (07), Châteauneuf-du-Rhône (26), Montélimar (26), and Privas (07),  </w:t>
        <w:br/>
        <w:t xml:space="preserve">by the company Synethis, which is itself active in the sector of distribution and repair of  </w:t>
        <w:br/>
        <w:t xml:space="preserve">motor vehicles. The operation constitutes a concentration operation within the meaning of Article  </w:t>
        <w:br/>
        <w:t xml:space="preserve">L.430-1 of the Commercial Code. Given the turnover achieved by the companies  </w:t>
        <w:br/>
        <w:t xml:space="preserve">concerned, the operation does not fall under the jurisdiction of the European Union. On the other hand,  </w:t>
        <w:br/>
        <w:t xml:space="preserve">the retail control thresholds mentioned in II of Article L.430-2 of the  </w:t>
        <w:br/>
        <w:t xml:space="preserve">Commercial Code are exceeded. This operation is therefore subject to the provisions of  </w:t>
        <w:br/>
        <w:t xml:space="preserve">Articles L.430-3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23-211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