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https://www.autoritedelaconcurrence.fr/fr/decision-de-controle-des-concentrations/relative-la-prise-de-controle-exclusif-des-societes-54</w:t>
      </w:r>
    </w:p>
    <w:p>
      <w:r>
        <w:t>Pages translated : 2</w:t>
      </w:r>
    </w:p>
    <w:p/>
    <w:p>
      <w:r>
        <w:rPr>
          <w:b/>
        </w:rPr>
        <w:t>[Pages 1–2]</w:t>
      </w:r>
    </w:p>
    <w:p>
      <w:r>
        <w:t xml:space="preserve">FRENCH REPUBLIC  </w:t>
        <w:br/>
        <w:t xml:space="preserve">Decision No. 23-DCC-207 of October 9, 2023  </w:t>
        <w:br/>
        <w:t xml:space="preserve">regarding the exclusive control acquisition of the companies Courtois Automobiles Lannion, Courtois Automobiles Guingamp, Courtois Automobiles Saint Malo, and Courtois Automobiles La Richardais by the company Groupe Nédélec  </w:t>
        <w:br/>
        <w:t xml:space="preserve">The Competition Authority,  </w:t>
        <w:br/>
        <w:t xml:space="preserve">Having regard to the complete notification file submitted to the mergers department on September 21, 2023, concerning the exclusive control acquisition of the companies Courtois Automobiles Lannion, Courtois Automobiles Guingamp, Courtois Automobiles Saint Malo, and Courtois Automobiles La Richardais by the company Groupe Nédélec, formalized by a share transfer agreement dated September 1,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Groupe Nédélec of the companies Courtois Automobiles Lannion, Courtois Automobiles Guingamp, Courtois Automobiles Saint Malo, and Courtois Automobiles La Richardais, which operate car dealerships in the departments of Côtes d’Armor (22) and Ille-et-Vilaine (35). The operation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23-236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