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https://www.autoritedelaconcurrence.fr/fr/decision-de-controle-des-concentrations/relative-la-prise-de-controle-exclusif-des-societes-56</w:t>
      </w:r>
    </w:p>
    <w:p>
      <w:r>
        <w:t>Pages translated : 2</w:t>
      </w:r>
    </w:p>
    <w:p/>
    <w:p>
      <w:r>
        <w:rPr>
          <w:b/>
        </w:rPr>
        <w:t>[Pages 1–2]</w:t>
      </w:r>
    </w:p>
    <w:p>
      <w:r>
        <w:t xml:space="preserve">FRENCH REPUBLIC  </w:t>
        <w:br/>
        <w:t xml:space="preserve">Decision No. 24-DCC-11 of February 5, 2024  </w:t>
        <w:br/>
        <w:t xml:space="preserve">regarding the exclusive control acquisition of the companies Centre auto SBH, Turbe car rental, and Turbe car rental II by the company Socipar  </w:t>
        <w:br/>
        <w:t xml:space="preserve">The Competition Authority,  </w:t>
        <w:br/>
        <w:t xml:space="preserve">Having regard to the complete notification file submitted to the mergers department on January 18, 2024, concerning the exclusive control acquisition by the company Socipar of the companies Centre auto SBH, Turbe car rental, and Turbe car rental II, formalized by a letter of intent dated June 19,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Socipar of the companies Centre auto SBH, Turbe car rental, and Turbe car rental II, which are active in the automotive distribution sector in Saint-Barthélemy (97). The operation constitutes a concentration within the meaning of Article L. 430-1 of the Commercial Code. Given the turnover achieved by the companies concerned, the operation does not fall under the jurisdiction of the European Union. However, the control thresholds mentioned in III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23-341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