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https://www.autoritedelaconcurrence.fr/fr/decision-de-controle-des-concentrations/relative-la-prise-de-controle-exclusif-des-societes-57</w:t>
      </w:r>
    </w:p>
    <w:p>
      <w:r>
        <w:t>Pages translated : 2</w:t>
      </w:r>
    </w:p>
    <w:p/>
    <w:p>
      <w:r>
        <w:rPr>
          <w:b/>
        </w:rPr>
        <w:t>[Pages 1–2]</w:t>
      </w:r>
    </w:p>
    <w:p>
      <w:r>
        <w:t xml:space="preserve">FRENCH REPUBLIC  </w:t>
        <w:br/>
        <w:t xml:space="preserve">Decision No. 24-DCC-21 of February 12, 2024  </w:t>
        <w:br/>
        <w:t xml:space="preserve">regarding the exclusive control acquisition of Comcentre companies by  </w:t>
        <w:br/>
        <w:t>Bouygues Telecom</w:t>
      </w:r>
    </w:p>
    <w:p>
      <w:r>
        <w:t>The Competition Authority,</w:t>
      </w:r>
    </w:p>
    <w:p>
      <w:r>
        <w:t xml:space="preserve">Having regard to the complete notification file submitted to the mergers department on January 25, 2024,  </w:t>
        <w:br/>
        <w:t>concerning the exclusive control acquisition by Bouygues Telecom of the companies Comcentre, Comcentre Nord, Comcentre Est, and Comcentre Ouest, formalized by the transfer contract and its annexes dated December 4,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Bouygues Telecom of the Comcentre companies, and concerns the markets for the distribution of mobile telephony products and services and internet access offers. It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23-196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