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https://www.autoritedelaconcurrence.fr/fr/decision-de-controle-des-concentrations/relative-la-prise-de-controle-exclusif-des-societes-58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24-DCC-34 of February 29, 2024</w:t>
        <w:br/>
        <w:t>regarding the exclusive control acquisition of the companies Balançon Malidor and</w:t>
        <w:br/>
        <w:t>Balançon Auto by the Bernier group</w:t>
        <w:br/>
        <w:t>The Competition Authority,</w:t>
        <w:br/>
        <w:t>Having regard to the complete notification file sent to the mergers department on February 1, 2024,</w:t>
        <w:br/>
        <w:t>concerning the exclusive control acquisition of the companies Balançon Malidor and Balançon Auto by the</w:t>
        <w:br/>
        <w:t>Bernier group, formalized by a transfer protocol dated December 15,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Bernier group of the companies</w:t>
        <w:br/>
        <w:t>Balançon Malidor and Balançon Auto, each of which operates a business of</w:t>
        <w:br/>
        <w:t>automobile distribution and repair in Pithiviers (45) and Malesherbes (45). It constitutes a</w:t>
        <w:br/>
        <w:t>concentration operation within the meaning of Article L. 430-1 of the Commercial Code. Given the</w:t>
        <w:br/>
        <w:t>turnover generated by the companies concerned, the operation does not fall under the</w:t>
        <w:br/>
        <w:t>jurisdiction of the European Union. On the other hand, the control thresholds related to retail</w:t>
        <w:br/>
        <w:t>trade mentioned in point II of Article L. 430-2 of the Commercial Code are exceeded. The</w:t>
        <w:br/>
        <w:t>present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24-027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